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278" w:rsidRDefault="00CA3278" w:rsidP="00CA3278">
      <w:pPr>
        <w:rPr>
          <w:bCs/>
          <w:color w:val="auto"/>
          <w:szCs w:val="21"/>
        </w:rPr>
      </w:pPr>
      <w:r>
        <w:rPr>
          <w:rFonts w:hint="eastAsia"/>
          <w:bCs/>
          <w:color w:val="auto"/>
          <w:szCs w:val="21"/>
        </w:rPr>
        <w:t>公司代码：600283                                             公司简称：钱江水利</w:t>
      </w:r>
    </w:p>
    <w:p w:rsidR="00CA3278" w:rsidRDefault="00CA3278" w:rsidP="00CA3278">
      <w:pPr>
        <w:jc w:val="center"/>
        <w:rPr>
          <w:rFonts w:ascii="黑体" w:eastAsia="黑体" w:hAnsi="黑体"/>
          <w:b/>
          <w:bCs/>
          <w:color w:val="auto"/>
          <w:sz w:val="44"/>
          <w:szCs w:val="44"/>
        </w:rPr>
      </w:pPr>
    </w:p>
    <w:p w:rsidR="00CA3278" w:rsidRDefault="00CA3278" w:rsidP="00CA3278">
      <w:pPr>
        <w:jc w:val="center"/>
        <w:rPr>
          <w:rFonts w:ascii="黑体" w:eastAsia="黑体" w:hAnsi="黑体"/>
          <w:b/>
          <w:bCs/>
          <w:color w:val="auto"/>
          <w:sz w:val="32"/>
          <w:szCs w:val="32"/>
        </w:rPr>
      </w:pPr>
    </w:p>
    <w:p w:rsidR="00CA3278" w:rsidRDefault="00CA3278" w:rsidP="00CA3278">
      <w:pPr>
        <w:jc w:val="center"/>
        <w:rPr>
          <w:rFonts w:ascii="黑体" w:eastAsia="黑体" w:hAnsi="黑体"/>
          <w:b/>
          <w:bCs/>
          <w:color w:val="auto"/>
          <w:sz w:val="32"/>
          <w:szCs w:val="32"/>
        </w:rPr>
      </w:pPr>
    </w:p>
    <w:p w:rsidR="00CA3278" w:rsidRDefault="00CA3278" w:rsidP="00CA3278">
      <w:pPr>
        <w:jc w:val="center"/>
        <w:rPr>
          <w:rFonts w:ascii="黑体" w:eastAsia="黑体" w:hAnsi="黑体"/>
          <w:b/>
          <w:bCs/>
          <w:color w:val="auto"/>
          <w:sz w:val="32"/>
          <w:szCs w:val="32"/>
        </w:rPr>
      </w:pPr>
    </w:p>
    <w:p w:rsidR="00CA3278" w:rsidRDefault="00CA3278" w:rsidP="00CA3278">
      <w:pPr>
        <w:jc w:val="center"/>
        <w:rPr>
          <w:rFonts w:ascii="黑体" w:eastAsia="黑体" w:hAnsi="黑体"/>
          <w:b/>
          <w:bCs/>
          <w:color w:val="auto"/>
          <w:sz w:val="32"/>
          <w:szCs w:val="32"/>
        </w:rPr>
      </w:pPr>
    </w:p>
    <w:p w:rsidR="00CA3278" w:rsidRDefault="00CA3278" w:rsidP="00CA3278">
      <w:pPr>
        <w:jc w:val="center"/>
        <w:rPr>
          <w:rFonts w:ascii="黑体" w:eastAsia="黑体" w:hAnsi="黑体"/>
          <w:b/>
          <w:bCs/>
          <w:color w:val="auto"/>
          <w:sz w:val="32"/>
          <w:szCs w:val="32"/>
        </w:rPr>
      </w:pPr>
    </w:p>
    <w:p w:rsidR="00CA3278" w:rsidRDefault="00CA3278" w:rsidP="00CA3278">
      <w:pPr>
        <w:jc w:val="center"/>
        <w:rPr>
          <w:rFonts w:ascii="黑体" w:eastAsia="黑体" w:hAnsi="黑体"/>
          <w:b/>
          <w:bCs/>
          <w:color w:val="auto"/>
          <w:sz w:val="32"/>
          <w:szCs w:val="32"/>
        </w:rPr>
      </w:pPr>
    </w:p>
    <w:p w:rsidR="00CA3278" w:rsidRDefault="00CA3278" w:rsidP="00CA3278">
      <w:pPr>
        <w:rPr>
          <w:rFonts w:ascii="黑体" w:eastAsia="黑体" w:hAnsi="黑体"/>
          <w:b/>
          <w:bCs/>
          <w:color w:val="auto"/>
          <w:sz w:val="32"/>
          <w:szCs w:val="32"/>
        </w:rPr>
      </w:pPr>
    </w:p>
    <w:p w:rsidR="00CA3278" w:rsidRDefault="00CA3278" w:rsidP="00CA3278">
      <w:pPr>
        <w:jc w:val="center"/>
        <w:rPr>
          <w:rFonts w:ascii="黑体" w:eastAsia="黑体" w:hAnsi="黑体"/>
          <w:b/>
          <w:bCs/>
          <w:color w:val="auto"/>
          <w:sz w:val="32"/>
          <w:szCs w:val="32"/>
        </w:rPr>
      </w:pPr>
      <w:r>
        <w:rPr>
          <w:rFonts w:ascii="黑体" w:eastAsia="黑体" w:hAnsi="黑体" w:hint="eastAsia"/>
          <w:b/>
          <w:bCs/>
          <w:color w:val="auto"/>
          <w:sz w:val="32"/>
          <w:szCs w:val="32"/>
        </w:rPr>
        <w:t>钱江水利开发股份有限公司</w:t>
      </w:r>
    </w:p>
    <w:p w:rsidR="00CA3278" w:rsidRDefault="00CA3278" w:rsidP="00CA3278">
      <w:pPr>
        <w:jc w:val="center"/>
        <w:rPr>
          <w:rFonts w:ascii="黑体" w:eastAsia="黑体" w:hAnsi="黑体"/>
          <w:b/>
          <w:bCs/>
          <w:color w:val="auto"/>
          <w:sz w:val="32"/>
          <w:szCs w:val="32"/>
        </w:rPr>
      </w:pPr>
      <w:r>
        <w:rPr>
          <w:rFonts w:ascii="黑体" w:eastAsia="黑体" w:hAnsi="黑体"/>
          <w:b/>
          <w:bCs/>
          <w:color w:val="auto"/>
          <w:sz w:val="32"/>
          <w:szCs w:val="32"/>
        </w:rPr>
        <w:t>2020年第</w:t>
      </w:r>
      <w:r>
        <w:rPr>
          <w:rFonts w:ascii="黑体" w:eastAsia="黑体" w:hAnsi="黑体" w:hint="eastAsia"/>
          <w:b/>
          <w:bCs/>
          <w:color w:val="auto"/>
          <w:sz w:val="32"/>
          <w:szCs w:val="32"/>
        </w:rPr>
        <w:t>三</w:t>
      </w:r>
      <w:r>
        <w:rPr>
          <w:rFonts w:ascii="黑体" w:eastAsia="黑体" w:hAnsi="黑体"/>
          <w:b/>
          <w:bCs/>
          <w:color w:val="auto"/>
          <w:sz w:val="32"/>
          <w:szCs w:val="32"/>
        </w:rPr>
        <w:t>季度报告</w:t>
      </w:r>
      <w:r>
        <w:rPr>
          <w:rFonts w:ascii="黑体" w:eastAsia="黑体" w:hAnsi="黑体" w:hint="eastAsia"/>
          <w:b/>
          <w:bCs/>
          <w:color w:val="auto"/>
          <w:sz w:val="32"/>
          <w:szCs w:val="32"/>
        </w:rPr>
        <w:t>正文</w:t>
      </w:r>
    </w:p>
    <w:p w:rsidR="00CA3278" w:rsidRDefault="00CA3278" w:rsidP="00CA3278">
      <w:pPr>
        <w:jc w:val="center"/>
        <w:rPr>
          <w:rFonts w:ascii="黑体" w:eastAsia="黑体" w:hAnsi="黑体"/>
          <w:b/>
          <w:bCs/>
          <w:color w:val="auto"/>
          <w:sz w:val="32"/>
          <w:szCs w:val="32"/>
        </w:rPr>
      </w:pPr>
    </w:p>
    <w:p w:rsidR="00CA3278" w:rsidRDefault="00CA3278" w:rsidP="00CA3278">
      <w:pPr>
        <w:jc w:val="center"/>
        <w:rPr>
          <w:rFonts w:ascii="黑体" w:eastAsia="黑体" w:hAnsi="黑体"/>
          <w:b/>
          <w:bCs/>
          <w:color w:val="auto"/>
          <w:sz w:val="32"/>
          <w:szCs w:val="32"/>
        </w:rPr>
      </w:pPr>
    </w:p>
    <w:p w:rsidR="00CA3278" w:rsidRDefault="00CA3278" w:rsidP="00CA3278">
      <w:pPr>
        <w:jc w:val="center"/>
        <w:rPr>
          <w:rFonts w:ascii="黑体" w:eastAsia="黑体" w:hAnsi="黑体"/>
          <w:b/>
          <w:bCs/>
          <w:color w:val="auto"/>
          <w:sz w:val="32"/>
          <w:szCs w:val="32"/>
        </w:rPr>
      </w:pPr>
    </w:p>
    <w:p w:rsidR="00CA3278" w:rsidRDefault="00CA3278" w:rsidP="00CA3278">
      <w:pPr>
        <w:jc w:val="center"/>
        <w:rPr>
          <w:rFonts w:ascii="黑体" w:eastAsia="黑体" w:hAnsi="黑体"/>
          <w:b/>
          <w:bCs/>
          <w:color w:val="auto"/>
          <w:sz w:val="32"/>
          <w:szCs w:val="32"/>
        </w:rPr>
      </w:pPr>
    </w:p>
    <w:p w:rsidR="00CA3278" w:rsidRDefault="00CA3278" w:rsidP="00CA3278">
      <w:pPr>
        <w:jc w:val="center"/>
        <w:rPr>
          <w:rFonts w:ascii="黑体" w:eastAsia="黑体" w:hAnsi="黑体"/>
          <w:b/>
          <w:bCs/>
          <w:color w:val="auto"/>
          <w:sz w:val="32"/>
          <w:szCs w:val="32"/>
        </w:rPr>
      </w:pPr>
    </w:p>
    <w:p w:rsidR="00CA3278" w:rsidRDefault="00CA3278" w:rsidP="00CA3278">
      <w:pPr>
        <w:jc w:val="center"/>
        <w:rPr>
          <w:rFonts w:ascii="黑体" w:eastAsia="黑体" w:hAnsi="黑体"/>
          <w:b/>
          <w:bCs/>
          <w:color w:val="auto"/>
          <w:sz w:val="32"/>
          <w:szCs w:val="32"/>
        </w:rPr>
      </w:pPr>
    </w:p>
    <w:p w:rsidR="00CA3278" w:rsidRDefault="00CA3278" w:rsidP="00CA3278">
      <w:pPr>
        <w:jc w:val="center"/>
        <w:rPr>
          <w:rFonts w:ascii="黑体" w:eastAsia="黑体" w:hAnsi="黑体"/>
          <w:b/>
          <w:bCs/>
          <w:color w:val="auto"/>
          <w:sz w:val="32"/>
          <w:szCs w:val="32"/>
        </w:rPr>
      </w:pPr>
    </w:p>
    <w:p w:rsidR="00CA3278" w:rsidRDefault="00CA3278" w:rsidP="00CA3278">
      <w:pPr>
        <w:jc w:val="center"/>
        <w:rPr>
          <w:rFonts w:ascii="黑体" w:eastAsia="黑体" w:hAnsi="黑体"/>
          <w:b/>
          <w:bCs/>
          <w:color w:val="auto"/>
          <w:sz w:val="32"/>
          <w:szCs w:val="32"/>
        </w:rPr>
      </w:pPr>
    </w:p>
    <w:p w:rsidR="00CA3278" w:rsidRDefault="00CA3278" w:rsidP="00CA3278">
      <w:pPr>
        <w:rPr>
          <w:rFonts w:ascii="Times New Roman" w:hAnsi="Times New Roman"/>
          <w:b/>
          <w:bCs/>
        </w:rPr>
      </w:pPr>
    </w:p>
    <w:p w:rsidR="00CA3278" w:rsidRDefault="00CA3278" w:rsidP="00CA3278">
      <w:pPr>
        <w:rPr>
          <w:rFonts w:ascii="Times New Roman" w:hAnsi="Times New Roman"/>
          <w:b/>
          <w:bCs/>
        </w:rPr>
      </w:pPr>
    </w:p>
    <w:p w:rsidR="00CA3278" w:rsidRDefault="00CA3278" w:rsidP="00CA3278">
      <w:pPr>
        <w:rPr>
          <w:rFonts w:ascii="Times New Roman" w:hAnsi="Times New Roman"/>
          <w:b/>
          <w:bCs/>
        </w:rPr>
      </w:pPr>
    </w:p>
    <w:p w:rsidR="00CA3278" w:rsidRDefault="00CA3278" w:rsidP="00CA3278">
      <w:pPr>
        <w:pStyle w:val="1"/>
        <w:numPr>
          <w:ilvl w:val="0"/>
          <w:numId w:val="1"/>
        </w:numPr>
        <w:tabs>
          <w:tab w:val="left" w:pos="434"/>
          <w:tab w:val="left" w:pos="882"/>
        </w:tabs>
        <w:rPr>
          <w:sz w:val="21"/>
          <w:szCs w:val="21"/>
        </w:rPr>
      </w:pPr>
      <w:bookmarkStart w:id="0" w:name="_Toc395718055"/>
      <w:bookmarkStart w:id="1" w:name="_Toc398622767"/>
      <w:r w:rsidRPr="004415C2">
        <w:rPr>
          <w:sz w:val="21"/>
          <w:szCs w:val="21"/>
        </w:rPr>
        <w:lastRenderedPageBreak/>
        <w:t>重要</w:t>
      </w:r>
      <w:r>
        <w:rPr>
          <w:sz w:val="21"/>
          <w:szCs w:val="21"/>
        </w:rPr>
        <w:t>提示</w:t>
      </w:r>
      <w:bookmarkEnd w:id="0"/>
      <w:bookmarkEnd w:id="1"/>
    </w:p>
    <w:p w:rsidR="00CA3278" w:rsidRDefault="00CA3278" w:rsidP="00CA3278"/>
    <w:p w:rsidR="00CA3278" w:rsidRDefault="00CA3278" w:rsidP="00CA3278">
      <w:pPr>
        <w:pStyle w:val="2"/>
        <w:rPr>
          <w:b/>
        </w:rPr>
      </w:pPr>
      <w:r>
        <w:t>公司董事会、监事会及董事、监事、高级管理人员保证季度报告内容的真实、准确、完整，不存在虚假记载、误导性陈述或者重大遗漏，并承担个别和连带的法律责任。</w:t>
      </w:r>
    </w:p>
    <w:p w:rsidR="00CA3278" w:rsidRPr="005130F2" w:rsidRDefault="00CA3278" w:rsidP="00CA3278">
      <w:pPr>
        <w:rPr>
          <w:color w:val="0000FF"/>
          <w:szCs w:val="21"/>
        </w:rPr>
      </w:pPr>
    </w:p>
    <w:p w:rsidR="00CA3278" w:rsidRDefault="00CA3278" w:rsidP="00CA3278">
      <w:pPr>
        <w:pStyle w:val="2"/>
      </w:pPr>
      <w:r>
        <w:rPr>
          <w:rFonts w:hint="eastAsia"/>
        </w:rPr>
        <w:t>公司全体董事出席董事会审议季度报告。</w:t>
      </w:r>
    </w:p>
    <w:p w:rsidR="00CA3278" w:rsidRDefault="00CA3278" w:rsidP="00CA3278"/>
    <w:p w:rsidR="00CA3278" w:rsidRDefault="00CA3278" w:rsidP="00CA3278">
      <w:pPr>
        <w:pStyle w:val="2"/>
      </w:pPr>
      <w:r>
        <w:t>公司负责人</w:t>
      </w:r>
      <w:r>
        <w:rPr>
          <w:rFonts w:hint="eastAsia"/>
        </w:rPr>
        <w:t>叶建桥</w:t>
      </w:r>
      <w:r>
        <w:t>、主管会计工作负责人</w:t>
      </w:r>
      <w:r>
        <w:rPr>
          <w:rFonts w:hint="eastAsia"/>
        </w:rPr>
        <w:t>何刚信</w:t>
      </w:r>
      <w:r>
        <w:t>及会计机构负责人（会计主管人员）</w:t>
      </w:r>
      <w:r>
        <w:rPr>
          <w:rFonts w:hint="eastAsia"/>
        </w:rPr>
        <w:t>彭伟军</w:t>
      </w:r>
      <w:r>
        <w:t>保证季度报告中财务报</w:t>
      </w:r>
      <w:r>
        <w:rPr>
          <w:rFonts w:hint="eastAsia"/>
        </w:rPr>
        <w:t>表</w:t>
      </w:r>
      <w:r>
        <w:t>的真实、</w:t>
      </w:r>
      <w:r>
        <w:rPr>
          <w:rFonts w:hint="eastAsia"/>
        </w:rPr>
        <w:t>准确、</w:t>
      </w:r>
      <w:r>
        <w:t>完整。</w:t>
      </w:r>
    </w:p>
    <w:p w:rsidR="00CA3278" w:rsidRDefault="00CA3278" w:rsidP="00CA3278"/>
    <w:p w:rsidR="00CA3278" w:rsidRDefault="00CA3278" w:rsidP="00CA3278">
      <w:pPr>
        <w:pStyle w:val="2"/>
      </w:pPr>
      <w:r>
        <w:rPr>
          <w:rFonts w:hint="eastAsia"/>
        </w:rPr>
        <w:t>本公司第三季度报告未经审计。</w:t>
      </w:r>
    </w:p>
    <w:p w:rsidR="00CA3278" w:rsidRDefault="00CA3278" w:rsidP="00CA3278">
      <w:pPr>
        <w:pStyle w:val="1"/>
        <w:numPr>
          <w:ilvl w:val="0"/>
          <w:numId w:val="1"/>
        </w:numPr>
        <w:tabs>
          <w:tab w:val="left" w:pos="434"/>
          <w:tab w:val="left" w:pos="882"/>
        </w:tabs>
        <w:rPr>
          <w:sz w:val="21"/>
          <w:szCs w:val="21"/>
        </w:rPr>
      </w:pPr>
      <w:bookmarkStart w:id="2" w:name="_Toc395718056"/>
      <w:bookmarkStart w:id="3" w:name="_Toc398622768"/>
      <w:r>
        <w:rPr>
          <w:rFonts w:hint="eastAsia"/>
          <w:sz w:val="21"/>
          <w:szCs w:val="21"/>
        </w:rPr>
        <w:t>公司主要财务数据和股东变化</w:t>
      </w:r>
      <w:bookmarkEnd w:id="2"/>
      <w:bookmarkEnd w:id="3"/>
    </w:p>
    <w:p w:rsidR="00CA3278" w:rsidRDefault="00CA3278" w:rsidP="00CA3278">
      <w:pPr>
        <w:pStyle w:val="2"/>
        <w:numPr>
          <w:ilvl w:val="0"/>
          <w:numId w:val="3"/>
        </w:numPr>
        <w:rPr>
          <w:b/>
        </w:rPr>
      </w:pPr>
      <w:r>
        <w:t>主要财务数据</w:t>
      </w:r>
    </w:p>
    <w:p w:rsidR="00CA3278" w:rsidRDefault="00CA3278" w:rsidP="00CA3278">
      <w:pPr>
        <w:widowControl w:val="0"/>
        <w:wordWrap w:val="0"/>
        <w:ind w:right="105"/>
        <w:jc w:val="right"/>
        <w:rPr>
          <w:color w:val="auto"/>
          <w:szCs w:val="21"/>
        </w:rPr>
      </w:pPr>
      <w:r>
        <w:rPr>
          <w:rFonts w:hint="eastAsia"/>
          <w:color w:val="auto"/>
          <w:szCs w:val="21"/>
        </w:rPr>
        <w:t>单位：元</w:t>
      </w:r>
      <w:r>
        <w:rPr>
          <w:color w:val="auto"/>
          <w:szCs w:val="21"/>
        </w:rPr>
        <w:t xml:space="preserve">  币种</w:t>
      </w:r>
      <w:r>
        <w:rPr>
          <w:rFonts w:hint="eastAsia"/>
          <w:color w:val="auto"/>
          <w:szCs w:val="21"/>
        </w:rPr>
        <w:t>：人民币</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8"/>
        <w:gridCol w:w="1946"/>
        <w:gridCol w:w="2361"/>
        <w:gridCol w:w="1944"/>
      </w:tblGrid>
      <w:tr w:rsidR="00CA3278" w:rsidTr="00B76BD6">
        <w:trPr>
          <w:trHeight w:val="315"/>
        </w:trPr>
        <w:tc>
          <w:tcPr>
            <w:tcW w:w="1415" w:type="pct"/>
            <w:shd w:val="clear" w:color="auto" w:fill="auto"/>
          </w:tcPr>
          <w:p w:rsidR="00CA3278" w:rsidRDefault="00CA3278" w:rsidP="00B76BD6">
            <w:pPr>
              <w:jc w:val="center"/>
              <w:rPr>
                <w:szCs w:val="21"/>
              </w:rPr>
            </w:pPr>
          </w:p>
        </w:tc>
        <w:tc>
          <w:tcPr>
            <w:tcW w:w="1116" w:type="pct"/>
            <w:vAlign w:val="center"/>
          </w:tcPr>
          <w:p w:rsidR="00CA3278" w:rsidRDefault="00CA3278" w:rsidP="00B76BD6">
            <w:pPr>
              <w:jc w:val="center"/>
              <w:rPr>
                <w:szCs w:val="21"/>
              </w:rPr>
            </w:pPr>
            <w:r>
              <w:rPr>
                <w:szCs w:val="21"/>
              </w:rPr>
              <w:t>本报告期末</w:t>
            </w:r>
          </w:p>
        </w:tc>
        <w:tc>
          <w:tcPr>
            <w:tcW w:w="1354" w:type="pct"/>
            <w:shd w:val="clear" w:color="auto" w:fill="auto"/>
            <w:vAlign w:val="center"/>
          </w:tcPr>
          <w:p w:rsidR="00CA3278" w:rsidRDefault="00CA3278" w:rsidP="00B76BD6">
            <w:pPr>
              <w:jc w:val="center"/>
              <w:rPr>
                <w:szCs w:val="21"/>
              </w:rPr>
            </w:pPr>
            <w:r>
              <w:rPr>
                <w:szCs w:val="21"/>
              </w:rPr>
              <w:t>上年度末</w:t>
            </w:r>
          </w:p>
        </w:tc>
        <w:tc>
          <w:tcPr>
            <w:tcW w:w="1115" w:type="pct"/>
            <w:shd w:val="clear" w:color="auto" w:fill="auto"/>
          </w:tcPr>
          <w:p w:rsidR="00CA3278" w:rsidRDefault="00CA3278" w:rsidP="00B76BD6">
            <w:pPr>
              <w:jc w:val="center"/>
              <w:rPr>
                <w:szCs w:val="21"/>
              </w:rPr>
            </w:pPr>
            <w:r>
              <w:rPr>
                <w:szCs w:val="21"/>
              </w:rPr>
              <w:t>本报告期末比上年度末增减(%)</w:t>
            </w:r>
          </w:p>
        </w:tc>
      </w:tr>
      <w:tr w:rsidR="00CA3278" w:rsidTr="00B76BD6">
        <w:tc>
          <w:tcPr>
            <w:tcW w:w="1415" w:type="pct"/>
            <w:shd w:val="clear" w:color="auto" w:fill="auto"/>
          </w:tcPr>
          <w:p w:rsidR="00CA3278" w:rsidRDefault="00CA3278" w:rsidP="00B76BD6">
            <w:pPr>
              <w:rPr>
                <w:szCs w:val="21"/>
              </w:rPr>
            </w:pPr>
            <w:r>
              <w:rPr>
                <w:szCs w:val="21"/>
              </w:rPr>
              <w:t>总资产</w:t>
            </w:r>
          </w:p>
        </w:tc>
        <w:tc>
          <w:tcPr>
            <w:tcW w:w="1116" w:type="pct"/>
          </w:tcPr>
          <w:p w:rsidR="00CA3278" w:rsidRDefault="00CA3278" w:rsidP="00B76BD6">
            <w:pPr>
              <w:jc w:val="right"/>
              <w:rPr>
                <w:szCs w:val="21"/>
              </w:rPr>
            </w:pPr>
            <w:r>
              <w:t>5,716,467,154.85</w:t>
            </w:r>
          </w:p>
        </w:tc>
        <w:tc>
          <w:tcPr>
            <w:tcW w:w="1354" w:type="pct"/>
            <w:shd w:val="clear" w:color="auto" w:fill="auto"/>
          </w:tcPr>
          <w:p w:rsidR="00CA3278" w:rsidRDefault="00CA3278" w:rsidP="00B76BD6">
            <w:pPr>
              <w:jc w:val="right"/>
              <w:rPr>
                <w:szCs w:val="21"/>
              </w:rPr>
            </w:pPr>
            <w:r>
              <w:t>5,171,402,341.71</w:t>
            </w:r>
          </w:p>
        </w:tc>
        <w:tc>
          <w:tcPr>
            <w:tcW w:w="1115" w:type="pct"/>
            <w:shd w:val="clear" w:color="auto" w:fill="auto"/>
          </w:tcPr>
          <w:p w:rsidR="00CA3278" w:rsidRDefault="00CA3278" w:rsidP="00B76BD6">
            <w:pPr>
              <w:jc w:val="right"/>
              <w:rPr>
                <w:szCs w:val="21"/>
              </w:rPr>
            </w:pPr>
            <w:r>
              <w:t>10.54</w:t>
            </w:r>
          </w:p>
        </w:tc>
      </w:tr>
      <w:tr w:rsidR="00CA3278" w:rsidTr="00B76BD6">
        <w:tc>
          <w:tcPr>
            <w:tcW w:w="1415" w:type="pct"/>
            <w:shd w:val="clear" w:color="auto" w:fill="auto"/>
          </w:tcPr>
          <w:p w:rsidR="00CA3278" w:rsidRDefault="00CA3278" w:rsidP="00B76BD6">
            <w:pPr>
              <w:rPr>
                <w:szCs w:val="21"/>
              </w:rPr>
            </w:pPr>
            <w:r>
              <w:rPr>
                <w:rFonts w:hint="eastAsia"/>
                <w:szCs w:val="21"/>
              </w:rPr>
              <w:t>归属于上市公司股东的净资产</w:t>
            </w:r>
          </w:p>
        </w:tc>
        <w:tc>
          <w:tcPr>
            <w:tcW w:w="1116" w:type="pct"/>
          </w:tcPr>
          <w:p w:rsidR="00CA3278" w:rsidRDefault="00CA3278" w:rsidP="00B76BD6">
            <w:pPr>
              <w:jc w:val="right"/>
              <w:rPr>
                <w:szCs w:val="21"/>
              </w:rPr>
            </w:pPr>
            <w:r>
              <w:t>1,946,819,529.66</w:t>
            </w:r>
          </w:p>
        </w:tc>
        <w:tc>
          <w:tcPr>
            <w:tcW w:w="1354" w:type="pct"/>
            <w:shd w:val="clear" w:color="auto" w:fill="auto"/>
          </w:tcPr>
          <w:p w:rsidR="00CA3278" w:rsidRDefault="00CA3278" w:rsidP="00B76BD6">
            <w:pPr>
              <w:jc w:val="right"/>
              <w:rPr>
                <w:szCs w:val="21"/>
              </w:rPr>
            </w:pPr>
            <w:r>
              <w:t>1,856,900,840.50</w:t>
            </w:r>
          </w:p>
        </w:tc>
        <w:tc>
          <w:tcPr>
            <w:tcW w:w="1115" w:type="pct"/>
            <w:shd w:val="clear" w:color="auto" w:fill="auto"/>
          </w:tcPr>
          <w:p w:rsidR="00CA3278" w:rsidRDefault="00CA3278" w:rsidP="00B76BD6">
            <w:pPr>
              <w:jc w:val="right"/>
              <w:rPr>
                <w:szCs w:val="21"/>
              </w:rPr>
            </w:pPr>
            <w:r>
              <w:t>4.84</w:t>
            </w:r>
          </w:p>
        </w:tc>
      </w:tr>
      <w:tr w:rsidR="00CA3278" w:rsidTr="00B76BD6">
        <w:trPr>
          <w:trHeight w:val="273"/>
        </w:trPr>
        <w:tc>
          <w:tcPr>
            <w:tcW w:w="1415" w:type="pct"/>
            <w:shd w:val="clear" w:color="auto" w:fill="auto"/>
          </w:tcPr>
          <w:p w:rsidR="00CA3278" w:rsidRDefault="00CA3278" w:rsidP="00B76BD6">
            <w:pPr>
              <w:rPr>
                <w:szCs w:val="21"/>
              </w:rPr>
            </w:pPr>
          </w:p>
        </w:tc>
        <w:tc>
          <w:tcPr>
            <w:tcW w:w="1116" w:type="pct"/>
            <w:shd w:val="clear" w:color="auto" w:fill="auto"/>
          </w:tcPr>
          <w:p w:rsidR="00CA3278" w:rsidRDefault="00CA3278" w:rsidP="00B76BD6">
            <w:pPr>
              <w:jc w:val="center"/>
              <w:rPr>
                <w:szCs w:val="21"/>
              </w:rPr>
            </w:pPr>
            <w:r>
              <w:rPr>
                <w:szCs w:val="21"/>
              </w:rPr>
              <w:t>年初</w:t>
            </w:r>
            <w:proofErr w:type="gramStart"/>
            <w:r>
              <w:rPr>
                <w:szCs w:val="21"/>
              </w:rPr>
              <w:t>至报告</w:t>
            </w:r>
            <w:proofErr w:type="gramEnd"/>
            <w:r>
              <w:rPr>
                <w:szCs w:val="21"/>
              </w:rPr>
              <w:t>期末</w:t>
            </w:r>
          </w:p>
          <w:p w:rsidR="00CA3278" w:rsidRDefault="00CA3278" w:rsidP="00B76BD6">
            <w:pPr>
              <w:jc w:val="center"/>
              <w:rPr>
                <w:szCs w:val="21"/>
              </w:rPr>
            </w:pPr>
            <w:r>
              <w:rPr>
                <w:rFonts w:hint="eastAsia"/>
                <w:szCs w:val="21"/>
              </w:rPr>
              <w:t>（1-9月）</w:t>
            </w:r>
          </w:p>
        </w:tc>
        <w:tc>
          <w:tcPr>
            <w:tcW w:w="1354" w:type="pct"/>
            <w:shd w:val="clear" w:color="auto" w:fill="auto"/>
          </w:tcPr>
          <w:p w:rsidR="00CA3278" w:rsidRDefault="00CA3278" w:rsidP="00B76BD6">
            <w:pPr>
              <w:jc w:val="center"/>
              <w:rPr>
                <w:szCs w:val="21"/>
              </w:rPr>
            </w:pPr>
            <w:r>
              <w:rPr>
                <w:szCs w:val="21"/>
              </w:rPr>
              <w:t>上年初至上年报告期末</w:t>
            </w:r>
          </w:p>
          <w:p w:rsidR="00CA3278" w:rsidRDefault="00CA3278" w:rsidP="00B76BD6">
            <w:pPr>
              <w:jc w:val="center"/>
              <w:rPr>
                <w:szCs w:val="21"/>
              </w:rPr>
            </w:pPr>
            <w:r>
              <w:rPr>
                <w:rFonts w:hint="eastAsia"/>
                <w:szCs w:val="21"/>
              </w:rPr>
              <w:t>（1-9月）</w:t>
            </w:r>
          </w:p>
        </w:tc>
        <w:tc>
          <w:tcPr>
            <w:tcW w:w="1115" w:type="pct"/>
            <w:shd w:val="clear" w:color="auto" w:fill="auto"/>
            <w:vAlign w:val="center"/>
          </w:tcPr>
          <w:p w:rsidR="00CA3278" w:rsidRDefault="00CA3278" w:rsidP="00B76BD6">
            <w:pPr>
              <w:jc w:val="center"/>
              <w:rPr>
                <w:szCs w:val="21"/>
              </w:rPr>
            </w:pPr>
            <w:r>
              <w:rPr>
                <w:szCs w:val="21"/>
              </w:rPr>
              <w:t>比上年同期增减(%)</w:t>
            </w:r>
          </w:p>
        </w:tc>
      </w:tr>
      <w:tr w:rsidR="00CA3278" w:rsidTr="00B76BD6">
        <w:tc>
          <w:tcPr>
            <w:tcW w:w="1415" w:type="pct"/>
            <w:shd w:val="clear" w:color="auto" w:fill="auto"/>
          </w:tcPr>
          <w:p w:rsidR="00CA3278" w:rsidRDefault="00CA3278" w:rsidP="00B76BD6">
            <w:pPr>
              <w:rPr>
                <w:szCs w:val="21"/>
              </w:rPr>
            </w:pPr>
            <w:r>
              <w:rPr>
                <w:szCs w:val="21"/>
              </w:rPr>
              <w:t>经营活动产生的现金流量净额</w:t>
            </w:r>
          </w:p>
        </w:tc>
        <w:tc>
          <w:tcPr>
            <w:tcW w:w="1116" w:type="pct"/>
            <w:shd w:val="clear" w:color="auto" w:fill="auto"/>
          </w:tcPr>
          <w:p w:rsidR="00CA3278" w:rsidRDefault="00CA3278" w:rsidP="00B76BD6">
            <w:pPr>
              <w:jc w:val="right"/>
              <w:rPr>
                <w:szCs w:val="21"/>
              </w:rPr>
            </w:pPr>
            <w:r>
              <w:t>246,071,473.85</w:t>
            </w:r>
          </w:p>
        </w:tc>
        <w:tc>
          <w:tcPr>
            <w:tcW w:w="1354" w:type="pct"/>
            <w:shd w:val="clear" w:color="auto" w:fill="auto"/>
          </w:tcPr>
          <w:p w:rsidR="00CA3278" w:rsidRDefault="00CA3278" w:rsidP="00B76BD6">
            <w:pPr>
              <w:jc w:val="right"/>
              <w:rPr>
                <w:szCs w:val="21"/>
              </w:rPr>
            </w:pPr>
            <w:r>
              <w:t>278,403,727.25</w:t>
            </w:r>
          </w:p>
        </w:tc>
        <w:tc>
          <w:tcPr>
            <w:tcW w:w="1115" w:type="pct"/>
            <w:shd w:val="clear" w:color="auto" w:fill="auto"/>
          </w:tcPr>
          <w:p w:rsidR="00CA3278" w:rsidRDefault="00CA3278" w:rsidP="00B76BD6">
            <w:pPr>
              <w:jc w:val="right"/>
              <w:rPr>
                <w:szCs w:val="21"/>
              </w:rPr>
            </w:pPr>
            <w:r>
              <w:t>-11.61</w:t>
            </w:r>
          </w:p>
        </w:tc>
      </w:tr>
      <w:tr w:rsidR="00CA3278" w:rsidTr="00B76BD6">
        <w:trPr>
          <w:trHeight w:val="316"/>
        </w:trPr>
        <w:tc>
          <w:tcPr>
            <w:tcW w:w="1415" w:type="pct"/>
            <w:shd w:val="clear" w:color="auto" w:fill="auto"/>
          </w:tcPr>
          <w:p w:rsidR="00CA3278" w:rsidRDefault="00CA3278" w:rsidP="00B76BD6">
            <w:pPr>
              <w:rPr>
                <w:szCs w:val="21"/>
              </w:rPr>
            </w:pPr>
          </w:p>
        </w:tc>
        <w:tc>
          <w:tcPr>
            <w:tcW w:w="1116" w:type="pct"/>
            <w:shd w:val="clear" w:color="auto" w:fill="auto"/>
          </w:tcPr>
          <w:p w:rsidR="00CA3278" w:rsidRDefault="00CA3278" w:rsidP="00B76BD6">
            <w:pPr>
              <w:jc w:val="center"/>
              <w:rPr>
                <w:szCs w:val="21"/>
              </w:rPr>
            </w:pPr>
            <w:r>
              <w:rPr>
                <w:szCs w:val="21"/>
              </w:rPr>
              <w:t>年初</w:t>
            </w:r>
            <w:proofErr w:type="gramStart"/>
            <w:r>
              <w:rPr>
                <w:szCs w:val="21"/>
              </w:rPr>
              <w:t>至报告</w:t>
            </w:r>
            <w:proofErr w:type="gramEnd"/>
            <w:r>
              <w:rPr>
                <w:szCs w:val="21"/>
              </w:rPr>
              <w:t>期末</w:t>
            </w:r>
          </w:p>
          <w:p w:rsidR="00CA3278" w:rsidRDefault="00CA3278" w:rsidP="00B76BD6">
            <w:pPr>
              <w:jc w:val="center"/>
              <w:rPr>
                <w:szCs w:val="21"/>
              </w:rPr>
            </w:pPr>
            <w:r>
              <w:rPr>
                <w:rFonts w:hint="eastAsia"/>
                <w:szCs w:val="21"/>
              </w:rPr>
              <w:t>（1-9月）</w:t>
            </w:r>
          </w:p>
        </w:tc>
        <w:tc>
          <w:tcPr>
            <w:tcW w:w="1354" w:type="pct"/>
            <w:shd w:val="clear" w:color="auto" w:fill="auto"/>
          </w:tcPr>
          <w:p w:rsidR="00CA3278" w:rsidRDefault="00CA3278" w:rsidP="00B76BD6">
            <w:pPr>
              <w:jc w:val="center"/>
              <w:rPr>
                <w:szCs w:val="21"/>
              </w:rPr>
            </w:pPr>
            <w:r>
              <w:rPr>
                <w:szCs w:val="21"/>
              </w:rPr>
              <w:t>上年初至上年报告期末</w:t>
            </w:r>
          </w:p>
          <w:p w:rsidR="00CA3278" w:rsidRDefault="00CA3278" w:rsidP="00B76BD6">
            <w:pPr>
              <w:jc w:val="center"/>
              <w:rPr>
                <w:szCs w:val="21"/>
              </w:rPr>
            </w:pPr>
            <w:r>
              <w:rPr>
                <w:rFonts w:hint="eastAsia"/>
                <w:szCs w:val="21"/>
              </w:rPr>
              <w:t>（1-9月）</w:t>
            </w:r>
          </w:p>
        </w:tc>
        <w:tc>
          <w:tcPr>
            <w:tcW w:w="1115" w:type="pct"/>
            <w:shd w:val="clear" w:color="auto" w:fill="auto"/>
            <w:vAlign w:val="center"/>
          </w:tcPr>
          <w:p w:rsidR="00CA3278" w:rsidRDefault="00CA3278" w:rsidP="00B76BD6">
            <w:pPr>
              <w:jc w:val="center"/>
              <w:rPr>
                <w:szCs w:val="21"/>
              </w:rPr>
            </w:pPr>
            <w:r>
              <w:rPr>
                <w:szCs w:val="21"/>
              </w:rPr>
              <w:t>比上年同期增减</w:t>
            </w:r>
          </w:p>
          <w:p w:rsidR="00CA3278" w:rsidRDefault="00CA3278" w:rsidP="00B76BD6">
            <w:pPr>
              <w:jc w:val="center"/>
              <w:rPr>
                <w:szCs w:val="21"/>
              </w:rPr>
            </w:pPr>
            <w:r>
              <w:rPr>
                <w:szCs w:val="21"/>
              </w:rPr>
              <w:t>（</w:t>
            </w:r>
            <w:r>
              <w:rPr>
                <w:rFonts w:hint="eastAsia"/>
                <w:szCs w:val="21"/>
              </w:rPr>
              <w:t>%</w:t>
            </w:r>
            <w:r>
              <w:rPr>
                <w:szCs w:val="21"/>
              </w:rPr>
              <w:t>）</w:t>
            </w:r>
          </w:p>
        </w:tc>
      </w:tr>
      <w:tr w:rsidR="00CA3278" w:rsidTr="00B76BD6">
        <w:tc>
          <w:tcPr>
            <w:tcW w:w="1415" w:type="pct"/>
            <w:shd w:val="clear" w:color="auto" w:fill="auto"/>
          </w:tcPr>
          <w:p w:rsidR="00CA3278" w:rsidRDefault="00CA3278" w:rsidP="00B76BD6">
            <w:pPr>
              <w:kinsoku w:val="0"/>
              <w:overflowPunct w:val="0"/>
              <w:autoSpaceDE w:val="0"/>
              <w:autoSpaceDN w:val="0"/>
              <w:adjustRightInd w:val="0"/>
              <w:snapToGrid w:val="0"/>
              <w:rPr>
                <w:szCs w:val="21"/>
              </w:rPr>
            </w:pPr>
            <w:r>
              <w:rPr>
                <w:szCs w:val="21"/>
              </w:rPr>
              <w:t>营业收入</w:t>
            </w:r>
          </w:p>
        </w:tc>
        <w:tc>
          <w:tcPr>
            <w:tcW w:w="1116" w:type="pct"/>
            <w:shd w:val="clear" w:color="auto" w:fill="auto"/>
          </w:tcPr>
          <w:p w:rsidR="00CA3278" w:rsidRDefault="00CA3278" w:rsidP="00B76BD6">
            <w:pPr>
              <w:jc w:val="right"/>
              <w:rPr>
                <w:szCs w:val="21"/>
              </w:rPr>
            </w:pPr>
            <w:r>
              <w:t>918,812,546.86</w:t>
            </w:r>
          </w:p>
        </w:tc>
        <w:tc>
          <w:tcPr>
            <w:tcW w:w="1354" w:type="pct"/>
            <w:shd w:val="clear" w:color="auto" w:fill="auto"/>
          </w:tcPr>
          <w:p w:rsidR="00CA3278" w:rsidRDefault="00CA3278" w:rsidP="00B76BD6">
            <w:pPr>
              <w:jc w:val="right"/>
              <w:rPr>
                <w:szCs w:val="21"/>
              </w:rPr>
            </w:pPr>
            <w:r>
              <w:t>856,821,352.66</w:t>
            </w:r>
          </w:p>
        </w:tc>
        <w:tc>
          <w:tcPr>
            <w:tcW w:w="1115" w:type="pct"/>
            <w:shd w:val="clear" w:color="auto" w:fill="auto"/>
          </w:tcPr>
          <w:p w:rsidR="00CA3278" w:rsidRDefault="00CA3278" w:rsidP="00B76BD6">
            <w:pPr>
              <w:jc w:val="right"/>
              <w:rPr>
                <w:szCs w:val="21"/>
              </w:rPr>
            </w:pPr>
            <w:r>
              <w:t>7.24</w:t>
            </w:r>
          </w:p>
        </w:tc>
      </w:tr>
      <w:tr w:rsidR="00CA3278" w:rsidTr="00B76BD6">
        <w:tc>
          <w:tcPr>
            <w:tcW w:w="1415" w:type="pct"/>
            <w:shd w:val="clear" w:color="auto" w:fill="auto"/>
          </w:tcPr>
          <w:p w:rsidR="00CA3278" w:rsidRDefault="00CA3278" w:rsidP="00B76BD6">
            <w:pPr>
              <w:rPr>
                <w:szCs w:val="21"/>
              </w:rPr>
            </w:pPr>
            <w:r>
              <w:rPr>
                <w:szCs w:val="21"/>
              </w:rPr>
              <w:t>归属于上市公司股东的净利润</w:t>
            </w:r>
          </w:p>
        </w:tc>
        <w:tc>
          <w:tcPr>
            <w:tcW w:w="1116" w:type="pct"/>
            <w:shd w:val="clear" w:color="auto" w:fill="auto"/>
          </w:tcPr>
          <w:p w:rsidR="00CA3278" w:rsidRDefault="00CA3278" w:rsidP="00B76BD6">
            <w:pPr>
              <w:jc w:val="right"/>
              <w:rPr>
                <w:szCs w:val="21"/>
              </w:rPr>
            </w:pPr>
            <w:r>
              <w:t>89,925,201.27</w:t>
            </w:r>
          </w:p>
        </w:tc>
        <w:tc>
          <w:tcPr>
            <w:tcW w:w="1354" w:type="pct"/>
            <w:shd w:val="clear" w:color="auto" w:fill="auto"/>
          </w:tcPr>
          <w:p w:rsidR="00CA3278" w:rsidRDefault="00CA3278" w:rsidP="00B76BD6">
            <w:pPr>
              <w:jc w:val="right"/>
              <w:rPr>
                <w:szCs w:val="21"/>
              </w:rPr>
            </w:pPr>
            <w:r>
              <w:t>18,416,247.43</w:t>
            </w:r>
          </w:p>
        </w:tc>
        <w:tc>
          <w:tcPr>
            <w:tcW w:w="1115" w:type="pct"/>
            <w:shd w:val="clear" w:color="auto" w:fill="auto"/>
          </w:tcPr>
          <w:p w:rsidR="00CA3278" w:rsidRDefault="00CA3278" w:rsidP="00B76BD6">
            <w:pPr>
              <w:jc w:val="right"/>
              <w:rPr>
                <w:szCs w:val="21"/>
              </w:rPr>
            </w:pPr>
            <w:r>
              <w:t>388.29</w:t>
            </w:r>
          </w:p>
        </w:tc>
      </w:tr>
      <w:tr w:rsidR="00CA3278" w:rsidTr="00B76BD6">
        <w:tc>
          <w:tcPr>
            <w:tcW w:w="1415" w:type="pct"/>
            <w:shd w:val="clear" w:color="auto" w:fill="auto"/>
          </w:tcPr>
          <w:p w:rsidR="00CA3278" w:rsidRDefault="00CA3278" w:rsidP="00B76BD6">
            <w:pPr>
              <w:kinsoku w:val="0"/>
              <w:overflowPunct w:val="0"/>
              <w:autoSpaceDE w:val="0"/>
              <w:autoSpaceDN w:val="0"/>
              <w:adjustRightInd w:val="0"/>
              <w:snapToGrid w:val="0"/>
              <w:rPr>
                <w:szCs w:val="21"/>
              </w:rPr>
            </w:pPr>
            <w:r>
              <w:rPr>
                <w:szCs w:val="21"/>
              </w:rPr>
              <w:t>归属于上市公司股东的扣除非经常性损益的净利润</w:t>
            </w:r>
          </w:p>
        </w:tc>
        <w:tc>
          <w:tcPr>
            <w:tcW w:w="1116" w:type="pct"/>
            <w:shd w:val="clear" w:color="auto" w:fill="auto"/>
          </w:tcPr>
          <w:p w:rsidR="00CA3278" w:rsidRDefault="00CA3278" w:rsidP="00B76BD6">
            <w:pPr>
              <w:jc w:val="right"/>
              <w:rPr>
                <w:szCs w:val="21"/>
              </w:rPr>
            </w:pPr>
            <w:r>
              <w:t>71,348,909.95</w:t>
            </w:r>
          </w:p>
        </w:tc>
        <w:tc>
          <w:tcPr>
            <w:tcW w:w="1354" w:type="pct"/>
            <w:shd w:val="clear" w:color="auto" w:fill="auto"/>
          </w:tcPr>
          <w:p w:rsidR="00CA3278" w:rsidRDefault="00CA3278" w:rsidP="00B76BD6">
            <w:pPr>
              <w:jc w:val="right"/>
              <w:rPr>
                <w:szCs w:val="21"/>
              </w:rPr>
            </w:pPr>
            <w:r>
              <w:t>254,224.41</w:t>
            </w:r>
          </w:p>
        </w:tc>
        <w:tc>
          <w:tcPr>
            <w:tcW w:w="1115" w:type="pct"/>
            <w:shd w:val="clear" w:color="auto" w:fill="auto"/>
          </w:tcPr>
          <w:p w:rsidR="00CA3278" w:rsidRDefault="00CA3278" w:rsidP="00B76BD6">
            <w:pPr>
              <w:jc w:val="right"/>
              <w:rPr>
                <w:szCs w:val="21"/>
              </w:rPr>
            </w:pPr>
            <w:r>
              <w:t>27,965.33</w:t>
            </w:r>
          </w:p>
        </w:tc>
      </w:tr>
      <w:tr w:rsidR="00CA3278" w:rsidTr="00B76BD6">
        <w:tc>
          <w:tcPr>
            <w:tcW w:w="1415" w:type="pct"/>
            <w:shd w:val="clear" w:color="auto" w:fill="auto"/>
          </w:tcPr>
          <w:p w:rsidR="00CA3278" w:rsidRDefault="00CA3278" w:rsidP="00B76BD6">
            <w:pPr>
              <w:rPr>
                <w:szCs w:val="21"/>
              </w:rPr>
            </w:pPr>
            <w:r>
              <w:rPr>
                <w:szCs w:val="21"/>
              </w:rPr>
              <w:lastRenderedPageBreak/>
              <w:t>加权平均净资产收益率（</w:t>
            </w:r>
            <w:r>
              <w:rPr>
                <w:rFonts w:hint="eastAsia"/>
                <w:szCs w:val="21"/>
              </w:rPr>
              <w:t>%</w:t>
            </w:r>
            <w:r>
              <w:rPr>
                <w:szCs w:val="21"/>
              </w:rPr>
              <w:t>）</w:t>
            </w:r>
          </w:p>
        </w:tc>
        <w:tc>
          <w:tcPr>
            <w:tcW w:w="1116" w:type="pct"/>
            <w:shd w:val="clear" w:color="auto" w:fill="auto"/>
          </w:tcPr>
          <w:p w:rsidR="00CA3278" w:rsidRDefault="00CA3278" w:rsidP="00B76BD6">
            <w:pPr>
              <w:jc w:val="right"/>
              <w:rPr>
                <w:szCs w:val="21"/>
              </w:rPr>
            </w:pPr>
            <w:r>
              <w:t>4.73</w:t>
            </w:r>
          </w:p>
        </w:tc>
        <w:tc>
          <w:tcPr>
            <w:tcW w:w="1354" w:type="pct"/>
            <w:shd w:val="clear" w:color="auto" w:fill="auto"/>
          </w:tcPr>
          <w:p w:rsidR="00CA3278" w:rsidRDefault="00CA3278" w:rsidP="00B76BD6">
            <w:pPr>
              <w:jc w:val="right"/>
              <w:rPr>
                <w:szCs w:val="21"/>
              </w:rPr>
            </w:pPr>
            <w:r>
              <w:t>1.01</w:t>
            </w:r>
          </w:p>
        </w:tc>
        <w:tc>
          <w:tcPr>
            <w:tcW w:w="1115" w:type="pct"/>
            <w:shd w:val="clear" w:color="auto" w:fill="auto"/>
          </w:tcPr>
          <w:p w:rsidR="00CA3278" w:rsidRDefault="00CA3278" w:rsidP="00B76BD6">
            <w:pPr>
              <w:jc w:val="right"/>
              <w:rPr>
                <w:szCs w:val="21"/>
              </w:rPr>
            </w:pPr>
            <w:r>
              <w:rPr>
                <w:rFonts w:hint="eastAsia"/>
                <w:szCs w:val="21"/>
              </w:rPr>
              <w:t>增加</w:t>
            </w:r>
            <w:r>
              <w:rPr>
                <w:szCs w:val="21"/>
              </w:rPr>
              <w:t>3.72个百分点</w:t>
            </w:r>
          </w:p>
        </w:tc>
      </w:tr>
      <w:tr w:rsidR="00CA3278" w:rsidTr="00B76BD6">
        <w:tc>
          <w:tcPr>
            <w:tcW w:w="1415" w:type="pct"/>
            <w:shd w:val="clear" w:color="auto" w:fill="auto"/>
          </w:tcPr>
          <w:p w:rsidR="00CA3278" w:rsidRDefault="00CA3278" w:rsidP="00B76BD6">
            <w:pPr>
              <w:rPr>
                <w:szCs w:val="21"/>
              </w:rPr>
            </w:pPr>
            <w:r>
              <w:rPr>
                <w:szCs w:val="21"/>
              </w:rPr>
              <w:t>基本每股收益（元/股）</w:t>
            </w:r>
          </w:p>
        </w:tc>
        <w:tc>
          <w:tcPr>
            <w:tcW w:w="1116" w:type="pct"/>
            <w:shd w:val="clear" w:color="auto" w:fill="auto"/>
          </w:tcPr>
          <w:p w:rsidR="00CA3278" w:rsidRDefault="00CA3278" w:rsidP="00B76BD6">
            <w:pPr>
              <w:jc w:val="right"/>
              <w:rPr>
                <w:szCs w:val="21"/>
              </w:rPr>
            </w:pPr>
            <w:r>
              <w:t>0.25</w:t>
            </w:r>
          </w:p>
        </w:tc>
        <w:tc>
          <w:tcPr>
            <w:tcW w:w="1354" w:type="pct"/>
            <w:shd w:val="clear" w:color="auto" w:fill="auto"/>
          </w:tcPr>
          <w:p w:rsidR="00CA3278" w:rsidRDefault="00CA3278" w:rsidP="00B76BD6">
            <w:pPr>
              <w:jc w:val="right"/>
              <w:rPr>
                <w:szCs w:val="21"/>
              </w:rPr>
            </w:pPr>
            <w:r>
              <w:t>0.05</w:t>
            </w:r>
          </w:p>
        </w:tc>
        <w:tc>
          <w:tcPr>
            <w:tcW w:w="1115" w:type="pct"/>
            <w:shd w:val="clear" w:color="auto" w:fill="auto"/>
          </w:tcPr>
          <w:p w:rsidR="00CA3278" w:rsidRDefault="00CA3278" w:rsidP="00B76BD6">
            <w:pPr>
              <w:jc w:val="right"/>
              <w:rPr>
                <w:szCs w:val="21"/>
              </w:rPr>
            </w:pPr>
            <w:r>
              <w:t>400.00</w:t>
            </w:r>
          </w:p>
        </w:tc>
      </w:tr>
      <w:tr w:rsidR="00CA3278" w:rsidTr="00B76BD6">
        <w:tc>
          <w:tcPr>
            <w:tcW w:w="1415" w:type="pct"/>
            <w:shd w:val="clear" w:color="auto" w:fill="auto"/>
          </w:tcPr>
          <w:p w:rsidR="00CA3278" w:rsidRDefault="00CA3278" w:rsidP="00B76BD6">
            <w:pPr>
              <w:rPr>
                <w:szCs w:val="21"/>
              </w:rPr>
            </w:pPr>
            <w:r>
              <w:rPr>
                <w:szCs w:val="21"/>
              </w:rPr>
              <w:t>稀释每股收益（元/股）</w:t>
            </w:r>
          </w:p>
        </w:tc>
        <w:tc>
          <w:tcPr>
            <w:tcW w:w="1116" w:type="pct"/>
            <w:shd w:val="clear" w:color="auto" w:fill="auto"/>
          </w:tcPr>
          <w:p w:rsidR="00CA3278" w:rsidRDefault="00CA3278" w:rsidP="00B76BD6">
            <w:pPr>
              <w:jc w:val="right"/>
              <w:rPr>
                <w:szCs w:val="21"/>
              </w:rPr>
            </w:pPr>
            <w:r>
              <w:t>0.25</w:t>
            </w:r>
          </w:p>
        </w:tc>
        <w:tc>
          <w:tcPr>
            <w:tcW w:w="1354" w:type="pct"/>
            <w:shd w:val="clear" w:color="auto" w:fill="auto"/>
          </w:tcPr>
          <w:p w:rsidR="00CA3278" w:rsidRDefault="00CA3278" w:rsidP="00B76BD6">
            <w:pPr>
              <w:jc w:val="right"/>
              <w:rPr>
                <w:szCs w:val="21"/>
              </w:rPr>
            </w:pPr>
            <w:r>
              <w:t>0.05</w:t>
            </w:r>
          </w:p>
        </w:tc>
        <w:tc>
          <w:tcPr>
            <w:tcW w:w="1115" w:type="pct"/>
            <w:shd w:val="clear" w:color="auto" w:fill="auto"/>
          </w:tcPr>
          <w:p w:rsidR="00CA3278" w:rsidRDefault="00CA3278" w:rsidP="00B76BD6">
            <w:pPr>
              <w:jc w:val="right"/>
              <w:rPr>
                <w:szCs w:val="21"/>
              </w:rPr>
            </w:pPr>
            <w:r>
              <w:t>400.00</w:t>
            </w:r>
          </w:p>
        </w:tc>
      </w:tr>
    </w:tbl>
    <w:p w:rsidR="00CA3278" w:rsidRDefault="00CA3278" w:rsidP="00CA3278"/>
    <w:p w:rsidR="00CA3278" w:rsidRDefault="00CA3278" w:rsidP="00CA3278">
      <w:pPr>
        <w:rPr>
          <w:szCs w:val="21"/>
        </w:rPr>
      </w:pPr>
      <w:r>
        <w:rPr>
          <w:szCs w:val="21"/>
        </w:rPr>
        <w:t>非经常性损益项目和金额</w:t>
      </w:r>
    </w:p>
    <w:p w:rsidR="00CA3278" w:rsidRDefault="00CA3278" w:rsidP="00CA3278">
      <w:pPr>
        <w:rPr>
          <w:szCs w:val="21"/>
        </w:rPr>
      </w:pPr>
      <w:r>
        <w:rPr>
          <w:szCs w:val="21"/>
        </w:rPr>
        <w:fldChar w:fldCharType="begin"/>
      </w:r>
      <w:r>
        <w:rPr>
          <w:rFonts w:hint="eastAsia"/>
          <w:szCs w:val="21"/>
        </w:rPr>
        <w:instrText xml:space="preserve"> MACROBUTTON  SnrToggleCheckbox √适用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p w:rsidR="00CA3278" w:rsidRDefault="00CA3278" w:rsidP="00CA3278">
      <w:pPr>
        <w:wordWrap w:val="0"/>
        <w:snapToGrid w:val="0"/>
        <w:jc w:val="right"/>
        <w:rPr>
          <w:szCs w:val="21"/>
        </w:rPr>
      </w:pPr>
      <w:r>
        <w:rPr>
          <w:szCs w:val="21"/>
        </w:rPr>
        <w:t>单位</w:t>
      </w:r>
      <w:r>
        <w:rPr>
          <w:rFonts w:hint="eastAsia"/>
          <w:szCs w:val="21"/>
        </w:rPr>
        <w:t>：元</w:t>
      </w:r>
      <w:r>
        <w:rPr>
          <w:szCs w:val="21"/>
        </w:rPr>
        <w:t xml:space="preserve">  币种</w:t>
      </w:r>
      <w:r>
        <w:rPr>
          <w:rFonts w:hint="eastAsia"/>
          <w:szCs w:val="21"/>
        </w:rPr>
        <w:t>：人民币</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985"/>
        <w:gridCol w:w="1842"/>
        <w:gridCol w:w="851"/>
      </w:tblGrid>
      <w:tr w:rsidR="00CA3278" w:rsidTr="00B76BD6">
        <w:tc>
          <w:tcPr>
            <w:tcW w:w="4219" w:type="dxa"/>
            <w:vAlign w:val="center"/>
          </w:tcPr>
          <w:p w:rsidR="00CA3278" w:rsidRDefault="00CA3278" w:rsidP="00B76BD6">
            <w:pPr>
              <w:jc w:val="center"/>
              <w:rPr>
                <w:szCs w:val="21"/>
              </w:rPr>
            </w:pPr>
            <w:r>
              <w:rPr>
                <w:szCs w:val="21"/>
              </w:rPr>
              <w:t>项目</w:t>
            </w:r>
          </w:p>
        </w:tc>
        <w:tc>
          <w:tcPr>
            <w:tcW w:w="1985" w:type="dxa"/>
            <w:vAlign w:val="center"/>
          </w:tcPr>
          <w:p w:rsidR="00CA3278" w:rsidRDefault="00CA3278" w:rsidP="00B76BD6">
            <w:pPr>
              <w:jc w:val="center"/>
              <w:rPr>
                <w:szCs w:val="21"/>
              </w:rPr>
            </w:pPr>
            <w:r>
              <w:rPr>
                <w:rFonts w:hint="eastAsia"/>
                <w:szCs w:val="21"/>
              </w:rPr>
              <w:t>本期金额</w:t>
            </w:r>
          </w:p>
          <w:p w:rsidR="00CA3278" w:rsidRDefault="00CA3278" w:rsidP="00B76BD6">
            <w:pPr>
              <w:jc w:val="center"/>
              <w:rPr>
                <w:szCs w:val="21"/>
              </w:rPr>
            </w:pPr>
            <w:r>
              <w:rPr>
                <w:szCs w:val="21"/>
              </w:rPr>
              <w:t>（7－9月）</w:t>
            </w:r>
          </w:p>
        </w:tc>
        <w:tc>
          <w:tcPr>
            <w:tcW w:w="1842" w:type="dxa"/>
            <w:vAlign w:val="center"/>
          </w:tcPr>
          <w:p w:rsidR="00CA3278" w:rsidRDefault="00CA3278" w:rsidP="00B76BD6">
            <w:pPr>
              <w:jc w:val="center"/>
              <w:rPr>
                <w:szCs w:val="21"/>
              </w:rPr>
            </w:pPr>
            <w:r>
              <w:rPr>
                <w:rFonts w:hint="eastAsia"/>
                <w:szCs w:val="21"/>
              </w:rPr>
              <w:t>年初</w:t>
            </w:r>
            <w:proofErr w:type="gramStart"/>
            <w:r>
              <w:rPr>
                <w:rFonts w:hint="eastAsia"/>
                <w:szCs w:val="21"/>
              </w:rPr>
              <w:t>至报告</w:t>
            </w:r>
            <w:proofErr w:type="gramEnd"/>
            <w:r>
              <w:rPr>
                <w:rFonts w:hint="eastAsia"/>
                <w:szCs w:val="21"/>
              </w:rPr>
              <w:t>期末金额（1-9月）</w:t>
            </w:r>
          </w:p>
        </w:tc>
        <w:tc>
          <w:tcPr>
            <w:tcW w:w="851" w:type="dxa"/>
            <w:vAlign w:val="center"/>
          </w:tcPr>
          <w:p w:rsidR="00CA3278" w:rsidRDefault="00CA3278" w:rsidP="00B76BD6">
            <w:pPr>
              <w:jc w:val="center"/>
              <w:rPr>
                <w:szCs w:val="21"/>
              </w:rPr>
            </w:pPr>
            <w:r>
              <w:rPr>
                <w:szCs w:val="21"/>
              </w:rPr>
              <w:t>说明</w:t>
            </w:r>
          </w:p>
        </w:tc>
      </w:tr>
      <w:tr w:rsidR="00CA3278" w:rsidTr="00B76BD6">
        <w:tc>
          <w:tcPr>
            <w:tcW w:w="4219" w:type="dxa"/>
            <w:vAlign w:val="center"/>
          </w:tcPr>
          <w:p w:rsidR="00CA3278" w:rsidRDefault="00CA3278" w:rsidP="00B76BD6">
            <w:pPr>
              <w:rPr>
                <w:szCs w:val="21"/>
              </w:rPr>
            </w:pPr>
            <w:r>
              <w:rPr>
                <w:szCs w:val="21"/>
              </w:rPr>
              <w:t>非流动资产处置损益</w:t>
            </w:r>
          </w:p>
        </w:tc>
        <w:tc>
          <w:tcPr>
            <w:tcW w:w="1985" w:type="dxa"/>
          </w:tcPr>
          <w:p w:rsidR="00CA3278" w:rsidRDefault="00CA3278" w:rsidP="00B76BD6">
            <w:pPr>
              <w:ind w:right="6"/>
              <w:jc w:val="right"/>
              <w:rPr>
                <w:szCs w:val="21"/>
              </w:rPr>
            </w:pPr>
            <w:r>
              <w:t>-4,629,624.67</w:t>
            </w:r>
          </w:p>
        </w:tc>
        <w:tc>
          <w:tcPr>
            <w:tcW w:w="1842" w:type="dxa"/>
          </w:tcPr>
          <w:p w:rsidR="00CA3278" w:rsidRDefault="00CA3278" w:rsidP="00B76BD6">
            <w:pPr>
              <w:ind w:right="6"/>
              <w:jc w:val="right"/>
              <w:rPr>
                <w:szCs w:val="21"/>
              </w:rPr>
            </w:pPr>
            <w:r>
              <w:t>-3,680,100.54</w:t>
            </w: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rFonts w:hint="eastAsia"/>
                <w:szCs w:val="21"/>
              </w:rPr>
              <w:t>越权审批，或无正式批准文件，或偶发性的税收返还、减免</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rFonts w:hint="eastAsia"/>
                <w:szCs w:val="21"/>
              </w:rPr>
              <w:t>计入当期损益的政府补助，但与公司正常经营业务密切相关，符合国家政策规定、按照一定标准定额或定量持续享受的政府补助除外</w:t>
            </w:r>
          </w:p>
        </w:tc>
        <w:tc>
          <w:tcPr>
            <w:tcW w:w="1985" w:type="dxa"/>
          </w:tcPr>
          <w:p w:rsidR="00CA3278" w:rsidRDefault="00CA3278" w:rsidP="00B76BD6">
            <w:pPr>
              <w:ind w:right="6"/>
              <w:jc w:val="right"/>
              <w:rPr>
                <w:szCs w:val="21"/>
              </w:rPr>
            </w:pPr>
            <w:r>
              <w:t>22,719,521.83</w:t>
            </w:r>
          </w:p>
        </w:tc>
        <w:tc>
          <w:tcPr>
            <w:tcW w:w="1842" w:type="dxa"/>
          </w:tcPr>
          <w:p w:rsidR="00CA3278" w:rsidRDefault="00CA3278" w:rsidP="00B76BD6">
            <w:pPr>
              <w:ind w:right="6"/>
              <w:jc w:val="right"/>
              <w:rPr>
                <w:szCs w:val="21"/>
              </w:rPr>
            </w:pPr>
            <w:r>
              <w:t>41,122,911.52</w:t>
            </w: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计入当期损益的对非金融企业收取的资金占用费</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企业取得子公司、联营企业及合营企业的投资成本小于取得投资时应享有被投资单位可辨认净资产公允价值产生的收益</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非货币性资产交换损益</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委托他人投资或管理资产的损益</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因不可抗力因素，如遭受自然灾害而计提的各项资产减值准备</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债务重组损益</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企业重组费用，如安置职工的支出、整合费用等</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交易价格显失公允的交易产生的超过公允价值部分的损益</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同</w:t>
            </w:r>
            <w:proofErr w:type="gramStart"/>
            <w:r>
              <w:rPr>
                <w:szCs w:val="21"/>
              </w:rPr>
              <w:t>一控制</w:t>
            </w:r>
            <w:proofErr w:type="gramEnd"/>
            <w:r>
              <w:rPr>
                <w:szCs w:val="21"/>
              </w:rPr>
              <w:t>下企业合并产生的子公司期初至</w:t>
            </w:r>
            <w:proofErr w:type="gramStart"/>
            <w:r>
              <w:rPr>
                <w:szCs w:val="21"/>
              </w:rPr>
              <w:t>合并日</w:t>
            </w:r>
            <w:proofErr w:type="gramEnd"/>
            <w:r>
              <w:rPr>
                <w:szCs w:val="21"/>
              </w:rPr>
              <w:t>的当期净损益</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与公司正常经营业务无关的或有事项产生的损益</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rFonts w:cs="宋体" w:hint="eastAsia"/>
                <w:szCs w:val="21"/>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tc>
        <w:tc>
          <w:tcPr>
            <w:tcW w:w="1985" w:type="dxa"/>
          </w:tcPr>
          <w:p w:rsidR="00CA3278" w:rsidRDefault="00CA3278" w:rsidP="00B76BD6">
            <w:pPr>
              <w:jc w:val="right"/>
              <w:rPr>
                <w:szCs w:val="21"/>
              </w:rPr>
            </w:pPr>
          </w:p>
        </w:tc>
        <w:tc>
          <w:tcPr>
            <w:tcW w:w="1842" w:type="dxa"/>
          </w:tcPr>
          <w:p w:rsidR="00CA3278" w:rsidRPr="00F55537" w:rsidRDefault="00CA3278" w:rsidP="00B76BD6">
            <w:pPr>
              <w:jc w:val="right"/>
              <w:rPr>
                <w:sz w:val="22"/>
              </w:rPr>
            </w:pPr>
            <w:r>
              <w:rPr>
                <w:rFonts w:hint="eastAsia"/>
                <w:sz w:val="22"/>
              </w:rPr>
              <w:t xml:space="preserve">     133,023.41</w:t>
            </w: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r>
              <w:rPr>
                <w:rFonts w:hint="eastAsia"/>
              </w:rPr>
              <w:t>单独进行减值测试的应收款项、合同资产减值准备转回</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lastRenderedPageBreak/>
              <w:t xml:space="preserve">对外委托贷款取得的损益 </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采用公允价值模式进行后续计量的投资性房地产公允价值变动产生的损益</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根据税收、会计等法律、法规的要求对当期损益进行一次性调整对当期损益的影响</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受托经营取得的托管费收入</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除上述各项之外的其他营业外收入和支出</w:t>
            </w:r>
          </w:p>
        </w:tc>
        <w:tc>
          <w:tcPr>
            <w:tcW w:w="1985" w:type="dxa"/>
          </w:tcPr>
          <w:p w:rsidR="00CA3278" w:rsidRDefault="00CA3278" w:rsidP="00B76BD6">
            <w:pPr>
              <w:ind w:right="6"/>
              <w:jc w:val="right"/>
              <w:rPr>
                <w:szCs w:val="21"/>
              </w:rPr>
            </w:pPr>
            <w:r>
              <w:t>238,003.26</w:t>
            </w:r>
          </w:p>
        </w:tc>
        <w:tc>
          <w:tcPr>
            <w:tcW w:w="1842" w:type="dxa"/>
          </w:tcPr>
          <w:p w:rsidR="00CA3278" w:rsidRDefault="00CA3278" w:rsidP="00B76BD6">
            <w:pPr>
              <w:ind w:right="6"/>
              <w:jc w:val="right"/>
              <w:rPr>
                <w:szCs w:val="21"/>
              </w:rPr>
            </w:pPr>
            <w:r>
              <w:t>637,241.05</w:t>
            </w: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其他符合非经常性损益定义的损益项目</w:t>
            </w:r>
          </w:p>
        </w:tc>
        <w:tc>
          <w:tcPr>
            <w:tcW w:w="1985" w:type="dxa"/>
          </w:tcPr>
          <w:p w:rsidR="00CA3278" w:rsidRDefault="00CA3278" w:rsidP="00B76BD6">
            <w:pPr>
              <w:ind w:right="6"/>
              <w:jc w:val="right"/>
              <w:rPr>
                <w:szCs w:val="21"/>
              </w:rPr>
            </w:pPr>
          </w:p>
        </w:tc>
        <w:tc>
          <w:tcPr>
            <w:tcW w:w="1842" w:type="dxa"/>
          </w:tcPr>
          <w:p w:rsidR="00CA3278" w:rsidRDefault="00CA3278" w:rsidP="00B76BD6">
            <w:pPr>
              <w:ind w:right="6"/>
              <w:jc w:val="right"/>
              <w:rPr>
                <w:szCs w:val="21"/>
              </w:rPr>
            </w:pP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少数股东权益影响额（税后）</w:t>
            </w:r>
          </w:p>
        </w:tc>
        <w:tc>
          <w:tcPr>
            <w:tcW w:w="1985" w:type="dxa"/>
          </w:tcPr>
          <w:p w:rsidR="00CA3278" w:rsidRDefault="00CA3278" w:rsidP="00B76BD6">
            <w:pPr>
              <w:jc w:val="right"/>
              <w:rPr>
                <w:szCs w:val="21"/>
              </w:rPr>
            </w:pPr>
            <w:r>
              <w:t>-6,635,834.20</w:t>
            </w:r>
          </w:p>
        </w:tc>
        <w:tc>
          <w:tcPr>
            <w:tcW w:w="1842" w:type="dxa"/>
          </w:tcPr>
          <w:p w:rsidR="00CA3278" w:rsidRDefault="00CA3278" w:rsidP="00B76BD6">
            <w:pPr>
              <w:jc w:val="right"/>
              <w:rPr>
                <w:szCs w:val="21"/>
              </w:rPr>
            </w:pPr>
            <w:r>
              <w:t>-9,391,519.66</w:t>
            </w: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rPr>
                <w:szCs w:val="21"/>
              </w:rPr>
            </w:pPr>
            <w:r>
              <w:rPr>
                <w:szCs w:val="21"/>
              </w:rPr>
              <w:t>所得税影响额</w:t>
            </w:r>
          </w:p>
        </w:tc>
        <w:tc>
          <w:tcPr>
            <w:tcW w:w="1985" w:type="dxa"/>
          </w:tcPr>
          <w:p w:rsidR="00CA3278" w:rsidRDefault="00CA3278" w:rsidP="00B76BD6">
            <w:pPr>
              <w:jc w:val="right"/>
              <w:rPr>
                <w:szCs w:val="21"/>
              </w:rPr>
            </w:pPr>
            <w:r>
              <w:t>-6,107,062.25</w:t>
            </w:r>
          </w:p>
        </w:tc>
        <w:tc>
          <w:tcPr>
            <w:tcW w:w="1842" w:type="dxa"/>
          </w:tcPr>
          <w:p w:rsidR="00CA3278" w:rsidRDefault="00CA3278" w:rsidP="00B76BD6">
            <w:pPr>
              <w:jc w:val="right"/>
              <w:rPr>
                <w:szCs w:val="21"/>
              </w:rPr>
            </w:pPr>
            <w:r>
              <w:t>-10,245,264.46</w:t>
            </w:r>
          </w:p>
        </w:tc>
        <w:tc>
          <w:tcPr>
            <w:tcW w:w="851" w:type="dxa"/>
          </w:tcPr>
          <w:p w:rsidR="00CA3278" w:rsidRDefault="00CA3278" w:rsidP="00B76BD6">
            <w:pPr>
              <w:rPr>
                <w:szCs w:val="21"/>
              </w:rPr>
            </w:pPr>
          </w:p>
        </w:tc>
      </w:tr>
      <w:tr w:rsidR="00CA3278" w:rsidTr="00B76BD6">
        <w:tc>
          <w:tcPr>
            <w:tcW w:w="4219" w:type="dxa"/>
            <w:vAlign w:val="center"/>
          </w:tcPr>
          <w:p w:rsidR="00CA3278" w:rsidRDefault="00CA3278" w:rsidP="00B76BD6">
            <w:pPr>
              <w:jc w:val="center"/>
              <w:rPr>
                <w:szCs w:val="21"/>
              </w:rPr>
            </w:pPr>
            <w:r>
              <w:rPr>
                <w:szCs w:val="21"/>
              </w:rPr>
              <w:t>合计</w:t>
            </w:r>
          </w:p>
        </w:tc>
        <w:tc>
          <w:tcPr>
            <w:tcW w:w="1985" w:type="dxa"/>
          </w:tcPr>
          <w:p w:rsidR="00CA3278" w:rsidRDefault="00CA3278" w:rsidP="00B76BD6">
            <w:pPr>
              <w:jc w:val="right"/>
              <w:rPr>
                <w:szCs w:val="21"/>
              </w:rPr>
            </w:pPr>
            <w:r>
              <w:t>5,585,003.97</w:t>
            </w:r>
          </w:p>
        </w:tc>
        <w:tc>
          <w:tcPr>
            <w:tcW w:w="1842" w:type="dxa"/>
          </w:tcPr>
          <w:p w:rsidR="00CA3278" w:rsidRDefault="00CA3278" w:rsidP="00B76BD6">
            <w:pPr>
              <w:jc w:val="right"/>
              <w:rPr>
                <w:szCs w:val="21"/>
              </w:rPr>
            </w:pPr>
            <w:r>
              <w:t>18,576,291.32</w:t>
            </w:r>
          </w:p>
        </w:tc>
        <w:tc>
          <w:tcPr>
            <w:tcW w:w="851" w:type="dxa"/>
          </w:tcPr>
          <w:p w:rsidR="00CA3278" w:rsidRDefault="00CA3278" w:rsidP="00B76BD6">
            <w:pPr>
              <w:rPr>
                <w:szCs w:val="21"/>
              </w:rPr>
            </w:pPr>
          </w:p>
        </w:tc>
      </w:tr>
    </w:tbl>
    <w:p w:rsidR="00CA3278" w:rsidRDefault="00CA3278" w:rsidP="00CA3278">
      <w:pPr>
        <w:adjustRightInd w:val="0"/>
        <w:snapToGrid w:val="0"/>
        <w:spacing w:line="200" w:lineRule="atLeast"/>
        <w:rPr>
          <w:color w:val="auto"/>
          <w:szCs w:val="21"/>
        </w:rPr>
      </w:pPr>
    </w:p>
    <w:p w:rsidR="00CA3278" w:rsidRDefault="00CA3278" w:rsidP="00CA3278">
      <w:pPr>
        <w:pStyle w:val="2"/>
        <w:numPr>
          <w:ilvl w:val="0"/>
          <w:numId w:val="3"/>
        </w:numPr>
        <w:rPr>
          <w:b/>
        </w:rPr>
      </w:pPr>
      <w:r>
        <w:t>截止报告期末的股东总数、前十名股东、前十名流通股东（或无限</w:t>
      </w:r>
      <w:proofErr w:type="gramStart"/>
      <w:r>
        <w:t>售条件</w:t>
      </w:r>
      <w:proofErr w:type="gramEnd"/>
      <w:r>
        <w:t>股东）持股情况表</w:t>
      </w:r>
    </w:p>
    <w:p w:rsidR="00CA3278" w:rsidRDefault="00CA3278" w:rsidP="00CA3278">
      <w:pPr>
        <w:jc w:val="right"/>
        <w:rPr>
          <w:bCs/>
          <w:color w:val="auto"/>
          <w:szCs w:val="21"/>
        </w:rPr>
      </w:pPr>
      <w:r>
        <w:rPr>
          <w:rFonts w:hint="eastAsia"/>
          <w:bCs/>
          <w:color w:val="auto"/>
          <w:szCs w:val="21"/>
        </w:rPr>
        <w:t>单位：股</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67"/>
        <w:gridCol w:w="709"/>
        <w:gridCol w:w="283"/>
        <w:gridCol w:w="965"/>
        <w:gridCol w:w="28"/>
        <w:gridCol w:w="850"/>
        <w:gridCol w:w="709"/>
        <w:gridCol w:w="567"/>
        <w:gridCol w:w="1134"/>
      </w:tblGrid>
      <w:tr w:rsidR="00CA3278" w:rsidTr="00B76BD6">
        <w:trPr>
          <w:cantSplit/>
        </w:trPr>
        <w:tc>
          <w:tcPr>
            <w:tcW w:w="4361" w:type="dxa"/>
            <w:gridSpan w:val="3"/>
            <w:shd w:val="clear" w:color="auto" w:fill="auto"/>
          </w:tcPr>
          <w:p w:rsidR="00CA3278" w:rsidRDefault="00CA3278" w:rsidP="00B76BD6">
            <w:r>
              <w:rPr>
                <w:rFonts w:hint="eastAsia"/>
              </w:rPr>
              <w:t>股东总数（户）</w:t>
            </w:r>
          </w:p>
        </w:tc>
        <w:tc>
          <w:tcPr>
            <w:tcW w:w="4536" w:type="dxa"/>
            <w:gridSpan w:val="7"/>
            <w:shd w:val="clear" w:color="auto" w:fill="auto"/>
          </w:tcPr>
          <w:p w:rsidR="00CA3278" w:rsidRDefault="00CA3278" w:rsidP="00B76BD6">
            <w:pPr>
              <w:jc w:val="right"/>
            </w:pPr>
            <w:r>
              <w:t>31,968</w:t>
            </w:r>
          </w:p>
        </w:tc>
      </w:tr>
      <w:tr w:rsidR="00CA3278" w:rsidTr="00B76BD6">
        <w:trPr>
          <w:cantSplit/>
        </w:trPr>
        <w:tc>
          <w:tcPr>
            <w:tcW w:w="8897" w:type="dxa"/>
            <w:gridSpan w:val="10"/>
            <w:shd w:val="clear" w:color="auto" w:fill="auto"/>
          </w:tcPr>
          <w:p w:rsidR="00CA3278" w:rsidRDefault="00CA3278" w:rsidP="00B76BD6">
            <w:pPr>
              <w:jc w:val="center"/>
            </w:pPr>
            <w:r>
              <w:t>前十名股东持股情况</w:t>
            </w:r>
          </w:p>
        </w:tc>
      </w:tr>
      <w:tr w:rsidR="00CA3278" w:rsidTr="00B76BD6">
        <w:trPr>
          <w:cantSplit/>
        </w:trPr>
        <w:tc>
          <w:tcPr>
            <w:tcW w:w="3085" w:type="dxa"/>
            <w:vMerge w:val="restart"/>
            <w:shd w:val="clear" w:color="auto" w:fill="auto"/>
            <w:vAlign w:val="center"/>
          </w:tcPr>
          <w:p w:rsidR="00CA3278" w:rsidRDefault="00CA3278" w:rsidP="00B76BD6">
            <w:pPr>
              <w:jc w:val="center"/>
              <w:rPr>
                <w:szCs w:val="21"/>
              </w:rPr>
            </w:pPr>
            <w:r>
              <w:rPr>
                <w:szCs w:val="21"/>
              </w:rPr>
              <w:t>股东名称</w:t>
            </w:r>
          </w:p>
          <w:p w:rsidR="00CA3278" w:rsidRDefault="00CA3278" w:rsidP="00B76BD6">
            <w:pPr>
              <w:jc w:val="center"/>
              <w:rPr>
                <w:szCs w:val="21"/>
              </w:rPr>
            </w:pPr>
            <w:r>
              <w:rPr>
                <w:rFonts w:hint="eastAsia"/>
                <w:szCs w:val="21"/>
              </w:rPr>
              <w:t>（全称）</w:t>
            </w:r>
          </w:p>
        </w:tc>
        <w:tc>
          <w:tcPr>
            <w:tcW w:w="1559" w:type="dxa"/>
            <w:gridSpan w:val="3"/>
            <w:vMerge w:val="restart"/>
            <w:shd w:val="clear" w:color="auto" w:fill="auto"/>
            <w:vAlign w:val="center"/>
          </w:tcPr>
          <w:p w:rsidR="00CA3278" w:rsidRDefault="00CA3278" w:rsidP="00B76BD6">
            <w:pPr>
              <w:jc w:val="center"/>
              <w:rPr>
                <w:szCs w:val="21"/>
              </w:rPr>
            </w:pPr>
            <w:r>
              <w:rPr>
                <w:szCs w:val="21"/>
              </w:rPr>
              <w:t>期末持股数量</w:t>
            </w:r>
          </w:p>
        </w:tc>
        <w:tc>
          <w:tcPr>
            <w:tcW w:w="993" w:type="dxa"/>
            <w:gridSpan w:val="2"/>
            <w:vMerge w:val="restart"/>
            <w:shd w:val="clear" w:color="auto" w:fill="auto"/>
            <w:vAlign w:val="center"/>
          </w:tcPr>
          <w:p w:rsidR="00CA3278" w:rsidRDefault="00CA3278" w:rsidP="00B76BD6">
            <w:pPr>
              <w:jc w:val="center"/>
              <w:rPr>
                <w:szCs w:val="21"/>
              </w:rPr>
            </w:pPr>
            <w:r>
              <w:rPr>
                <w:szCs w:val="21"/>
              </w:rPr>
              <w:t>比例(%)</w:t>
            </w:r>
          </w:p>
        </w:tc>
        <w:tc>
          <w:tcPr>
            <w:tcW w:w="850" w:type="dxa"/>
            <w:vMerge w:val="restart"/>
            <w:shd w:val="clear" w:color="auto" w:fill="auto"/>
            <w:vAlign w:val="center"/>
          </w:tcPr>
          <w:p w:rsidR="00CA3278" w:rsidRDefault="00CA3278" w:rsidP="00B76BD6">
            <w:pPr>
              <w:rPr>
                <w:bCs/>
                <w:color w:val="00B050"/>
              </w:rPr>
            </w:pPr>
            <w:r>
              <w:rPr>
                <w:bCs/>
              </w:rPr>
              <w:t>持有有限</w:t>
            </w:r>
            <w:proofErr w:type="gramStart"/>
            <w:r>
              <w:rPr>
                <w:bCs/>
              </w:rPr>
              <w:t>售条件</w:t>
            </w:r>
            <w:proofErr w:type="gramEnd"/>
            <w:r>
              <w:rPr>
                <w:bCs/>
              </w:rPr>
              <w:t>股份数量</w:t>
            </w:r>
          </w:p>
        </w:tc>
        <w:tc>
          <w:tcPr>
            <w:tcW w:w="1276" w:type="dxa"/>
            <w:gridSpan w:val="2"/>
            <w:shd w:val="clear" w:color="auto" w:fill="auto"/>
            <w:vAlign w:val="center"/>
          </w:tcPr>
          <w:p w:rsidR="00CA3278" w:rsidRDefault="00CA3278" w:rsidP="00B76BD6">
            <w:pPr>
              <w:jc w:val="center"/>
              <w:rPr>
                <w:szCs w:val="21"/>
              </w:rPr>
            </w:pPr>
            <w:r>
              <w:rPr>
                <w:szCs w:val="21"/>
              </w:rPr>
              <w:t>质押或冻结情况</w:t>
            </w:r>
          </w:p>
        </w:tc>
        <w:tc>
          <w:tcPr>
            <w:tcW w:w="1134" w:type="dxa"/>
            <w:vMerge w:val="restart"/>
            <w:shd w:val="clear" w:color="auto" w:fill="auto"/>
            <w:vAlign w:val="center"/>
          </w:tcPr>
          <w:p w:rsidR="00CA3278" w:rsidRDefault="00CA3278" w:rsidP="00B76BD6">
            <w:pPr>
              <w:jc w:val="center"/>
              <w:rPr>
                <w:szCs w:val="21"/>
              </w:rPr>
            </w:pPr>
            <w:r>
              <w:rPr>
                <w:szCs w:val="21"/>
              </w:rPr>
              <w:t>股东性质</w:t>
            </w:r>
          </w:p>
        </w:tc>
      </w:tr>
      <w:tr w:rsidR="00CA3278" w:rsidTr="00B76BD6">
        <w:trPr>
          <w:cantSplit/>
        </w:trPr>
        <w:tc>
          <w:tcPr>
            <w:tcW w:w="3085" w:type="dxa"/>
            <w:vMerge/>
            <w:tcBorders>
              <w:bottom w:val="single" w:sz="4" w:space="0" w:color="auto"/>
            </w:tcBorders>
            <w:shd w:val="clear" w:color="auto" w:fill="auto"/>
          </w:tcPr>
          <w:p w:rsidR="00CA3278" w:rsidRDefault="00CA3278" w:rsidP="00B76BD6">
            <w:pPr>
              <w:jc w:val="center"/>
              <w:rPr>
                <w:szCs w:val="21"/>
              </w:rPr>
            </w:pPr>
          </w:p>
        </w:tc>
        <w:tc>
          <w:tcPr>
            <w:tcW w:w="1559" w:type="dxa"/>
            <w:gridSpan w:val="3"/>
            <w:vMerge/>
            <w:tcBorders>
              <w:bottom w:val="single" w:sz="4" w:space="0" w:color="auto"/>
            </w:tcBorders>
            <w:shd w:val="clear" w:color="auto" w:fill="auto"/>
          </w:tcPr>
          <w:p w:rsidR="00CA3278" w:rsidRDefault="00CA3278" w:rsidP="00B76BD6">
            <w:pPr>
              <w:jc w:val="center"/>
              <w:rPr>
                <w:szCs w:val="21"/>
              </w:rPr>
            </w:pPr>
          </w:p>
        </w:tc>
        <w:tc>
          <w:tcPr>
            <w:tcW w:w="993" w:type="dxa"/>
            <w:gridSpan w:val="2"/>
            <w:vMerge/>
            <w:tcBorders>
              <w:bottom w:val="single" w:sz="4" w:space="0" w:color="auto"/>
            </w:tcBorders>
            <w:shd w:val="clear" w:color="auto" w:fill="auto"/>
          </w:tcPr>
          <w:p w:rsidR="00CA3278" w:rsidRDefault="00CA3278" w:rsidP="00B76BD6">
            <w:pPr>
              <w:jc w:val="center"/>
              <w:rPr>
                <w:szCs w:val="21"/>
              </w:rPr>
            </w:pPr>
          </w:p>
        </w:tc>
        <w:tc>
          <w:tcPr>
            <w:tcW w:w="850" w:type="dxa"/>
            <w:vMerge/>
            <w:tcBorders>
              <w:bottom w:val="single" w:sz="4" w:space="0" w:color="auto"/>
            </w:tcBorders>
            <w:shd w:val="clear" w:color="auto" w:fill="auto"/>
          </w:tcPr>
          <w:p w:rsidR="00CA3278" w:rsidRDefault="00CA3278" w:rsidP="00B76BD6">
            <w:pPr>
              <w:jc w:val="center"/>
              <w:rPr>
                <w:szCs w:val="21"/>
              </w:rPr>
            </w:pPr>
          </w:p>
        </w:tc>
        <w:tc>
          <w:tcPr>
            <w:tcW w:w="709" w:type="dxa"/>
            <w:tcBorders>
              <w:bottom w:val="single" w:sz="4" w:space="0" w:color="auto"/>
            </w:tcBorders>
            <w:shd w:val="clear" w:color="auto" w:fill="auto"/>
            <w:vAlign w:val="center"/>
          </w:tcPr>
          <w:p w:rsidR="00CA3278" w:rsidRDefault="00CA3278" w:rsidP="00B76BD6">
            <w:pPr>
              <w:jc w:val="center"/>
              <w:rPr>
                <w:szCs w:val="21"/>
              </w:rPr>
            </w:pPr>
            <w:r>
              <w:rPr>
                <w:szCs w:val="21"/>
              </w:rPr>
              <w:t>股份状态</w:t>
            </w:r>
          </w:p>
        </w:tc>
        <w:tc>
          <w:tcPr>
            <w:tcW w:w="567" w:type="dxa"/>
            <w:tcBorders>
              <w:bottom w:val="single" w:sz="4" w:space="0" w:color="auto"/>
            </w:tcBorders>
            <w:shd w:val="clear" w:color="auto" w:fill="auto"/>
            <w:vAlign w:val="center"/>
          </w:tcPr>
          <w:p w:rsidR="00CA3278" w:rsidRDefault="00CA3278" w:rsidP="00B76BD6">
            <w:pPr>
              <w:jc w:val="center"/>
              <w:rPr>
                <w:szCs w:val="21"/>
              </w:rPr>
            </w:pPr>
            <w:r>
              <w:rPr>
                <w:szCs w:val="21"/>
              </w:rPr>
              <w:t>数量</w:t>
            </w:r>
          </w:p>
        </w:tc>
        <w:tc>
          <w:tcPr>
            <w:tcW w:w="1134" w:type="dxa"/>
            <w:vMerge/>
            <w:shd w:val="clear" w:color="auto" w:fill="auto"/>
          </w:tcPr>
          <w:p w:rsidR="00CA3278" w:rsidRDefault="00CA3278" w:rsidP="00B76BD6">
            <w:pPr>
              <w:jc w:val="center"/>
              <w:rPr>
                <w:szCs w:val="21"/>
              </w:rPr>
            </w:pPr>
          </w:p>
        </w:tc>
      </w:tr>
      <w:tr w:rsidR="00CA3278" w:rsidTr="00B76BD6">
        <w:trPr>
          <w:cantSplit/>
        </w:trPr>
        <w:tc>
          <w:tcPr>
            <w:tcW w:w="3085" w:type="dxa"/>
            <w:shd w:val="clear" w:color="auto" w:fill="auto"/>
          </w:tcPr>
          <w:p w:rsidR="00CA3278" w:rsidRDefault="00CA3278" w:rsidP="00B76BD6">
            <w:pPr>
              <w:rPr>
                <w:szCs w:val="21"/>
              </w:rPr>
            </w:pPr>
            <w:r>
              <w:t>中国水务投资有限公司</w:t>
            </w:r>
          </w:p>
        </w:tc>
        <w:tc>
          <w:tcPr>
            <w:tcW w:w="1559" w:type="dxa"/>
            <w:gridSpan w:val="3"/>
            <w:shd w:val="clear" w:color="auto" w:fill="auto"/>
          </w:tcPr>
          <w:p w:rsidR="00CA3278" w:rsidRDefault="00CA3278" w:rsidP="00B76BD6">
            <w:pPr>
              <w:jc w:val="right"/>
              <w:rPr>
                <w:szCs w:val="21"/>
              </w:rPr>
            </w:pPr>
            <w:r>
              <w:t>118,436,629</w:t>
            </w:r>
          </w:p>
        </w:tc>
        <w:tc>
          <w:tcPr>
            <w:tcW w:w="993" w:type="dxa"/>
            <w:gridSpan w:val="2"/>
            <w:shd w:val="clear" w:color="auto" w:fill="auto"/>
          </w:tcPr>
          <w:p w:rsidR="00CA3278" w:rsidRDefault="00CA3278" w:rsidP="00B76BD6">
            <w:pPr>
              <w:jc w:val="right"/>
              <w:rPr>
                <w:szCs w:val="21"/>
              </w:rPr>
            </w:pPr>
            <w:r>
              <w:t>33.55</w:t>
            </w:r>
          </w:p>
        </w:tc>
        <w:tc>
          <w:tcPr>
            <w:tcW w:w="850" w:type="dxa"/>
            <w:shd w:val="clear" w:color="auto" w:fill="auto"/>
          </w:tcPr>
          <w:p w:rsidR="00CA3278" w:rsidRDefault="00CA3278" w:rsidP="00B76BD6">
            <w:pPr>
              <w:jc w:val="right"/>
              <w:rPr>
                <w:szCs w:val="21"/>
              </w:rPr>
            </w:pPr>
          </w:p>
        </w:tc>
        <w:tc>
          <w:tcPr>
            <w:tcW w:w="709" w:type="dxa"/>
            <w:shd w:val="clear" w:color="auto" w:fill="auto"/>
            <w:vAlign w:val="center"/>
          </w:tcPr>
          <w:p w:rsidR="00CA3278" w:rsidRDefault="00CA3278" w:rsidP="00B76BD6">
            <w:pPr>
              <w:jc w:val="center"/>
              <w:rPr>
                <w:color w:val="FF9900"/>
                <w:szCs w:val="21"/>
              </w:rPr>
            </w:pPr>
            <w:r>
              <w:rPr>
                <w:szCs w:val="21"/>
              </w:rPr>
              <w:t>无</w:t>
            </w:r>
          </w:p>
        </w:tc>
        <w:tc>
          <w:tcPr>
            <w:tcW w:w="567" w:type="dxa"/>
            <w:shd w:val="clear" w:color="auto" w:fill="auto"/>
          </w:tcPr>
          <w:p w:rsidR="00CA3278" w:rsidRDefault="00CA3278" w:rsidP="00B76BD6">
            <w:pPr>
              <w:jc w:val="right"/>
              <w:rPr>
                <w:szCs w:val="21"/>
              </w:rPr>
            </w:pPr>
          </w:p>
        </w:tc>
        <w:tc>
          <w:tcPr>
            <w:tcW w:w="1134" w:type="dxa"/>
            <w:shd w:val="clear" w:color="auto" w:fill="auto"/>
          </w:tcPr>
          <w:p w:rsidR="00CA3278" w:rsidRDefault="00CA3278" w:rsidP="00B76BD6">
            <w:pPr>
              <w:jc w:val="center"/>
              <w:rPr>
                <w:color w:val="FF9900"/>
                <w:szCs w:val="21"/>
              </w:rPr>
            </w:pPr>
            <w:r>
              <w:rPr>
                <w:szCs w:val="21"/>
              </w:rPr>
              <w:t>国有法人</w:t>
            </w:r>
          </w:p>
        </w:tc>
      </w:tr>
      <w:tr w:rsidR="00CA3278" w:rsidTr="00B76BD6">
        <w:trPr>
          <w:cantSplit/>
        </w:trPr>
        <w:tc>
          <w:tcPr>
            <w:tcW w:w="3085" w:type="dxa"/>
            <w:shd w:val="clear" w:color="auto" w:fill="auto"/>
          </w:tcPr>
          <w:p w:rsidR="00CA3278" w:rsidRDefault="00CA3278" w:rsidP="00B76BD6">
            <w:pPr>
              <w:rPr>
                <w:szCs w:val="21"/>
              </w:rPr>
            </w:pPr>
            <w:r>
              <w:t>浙江省新能源投资集团股份有限公司</w:t>
            </w:r>
          </w:p>
        </w:tc>
        <w:tc>
          <w:tcPr>
            <w:tcW w:w="1559" w:type="dxa"/>
            <w:gridSpan w:val="3"/>
            <w:shd w:val="clear" w:color="auto" w:fill="auto"/>
          </w:tcPr>
          <w:p w:rsidR="00CA3278" w:rsidRDefault="00CA3278" w:rsidP="00B76BD6">
            <w:pPr>
              <w:jc w:val="right"/>
              <w:rPr>
                <w:szCs w:val="21"/>
              </w:rPr>
            </w:pPr>
            <w:r>
              <w:t>89,802,172</w:t>
            </w:r>
          </w:p>
        </w:tc>
        <w:tc>
          <w:tcPr>
            <w:tcW w:w="993" w:type="dxa"/>
            <w:gridSpan w:val="2"/>
            <w:shd w:val="clear" w:color="auto" w:fill="auto"/>
          </w:tcPr>
          <w:p w:rsidR="00CA3278" w:rsidRDefault="00CA3278" w:rsidP="00B76BD6">
            <w:pPr>
              <w:jc w:val="right"/>
              <w:rPr>
                <w:szCs w:val="21"/>
              </w:rPr>
            </w:pPr>
            <w:r>
              <w:t>25.44</w:t>
            </w:r>
          </w:p>
        </w:tc>
        <w:tc>
          <w:tcPr>
            <w:tcW w:w="850" w:type="dxa"/>
            <w:shd w:val="clear" w:color="auto" w:fill="auto"/>
          </w:tcPr>
          <w:p w:rsidR="00CA3278" w:rsidRDefault="00CA3278" w:rsidP="00B76BD6">
            <w:pPr>
              <w:jc w:val="right"/>
              <w:rPr>
                <w:szCs w:val="21"/>
              </w:rPr>
            </w:pPr>
          </w:p>
        </w:tc>
        <w:tc>
          <w:tcPr>
            <w:tcW w:w="709" w:type="dxa"/>
            <w:shd w:val="clear" w:color="auto" w:fill="auto"/>
            <w:vAlign w:val="center"/>
          </w:tcPr>
          <w:p w:rsidR="00CA3278" w:rsidRDefault="00CA3278" w:rsidP="00B76BD6">
            <w:pPr>
              <w:jc w:val="center"/>
              <w:rPr>
                <w:color w:val="FF9900"/>
                <w:szCs w:val="21"/>
              </w:rPr>
            </w:pPr>
            <w:r>
              <w:rPr>
                <w:szCs w:val="21"/>
              </w:rPr>
              <w:t>无</w:t>
            </w:r>
          </w:p>
        </w:tc>
        <w:tc>
          <w:tcPr>
            <w:tcW w:w="567" w:type="dxa"/>
            <w:shd w:val="clear" w:color="auto" w:fill="auto"/>
          </w:tcPr>
          <w:p w:rsidR="00CA3278" w:rsidRDefault="00CA3278" w:rsidP="00B76BD6">
            <w:pPr>
              <w:jc w:val="right"/>
              <w:rPr>
                <w:szCs w:val="21"/>
              </w:rPr>
            </w:pPr>
          </w:p>
        </w:tc>
        <w:tc>
          <w:tcPr>
            <w:tcW w:w="1134" w:type="dxa"/>
            <w:shd w:val="clear" w:color="auto" w:fill="auto"/>
          </w:tcPr>
          <w:p w:rsidR="00CA3278" w:rsidRDefault="00CA3278" w:rsidP="00B76BD6">
            <w:pPr>
              <w:jc w:val="center"/>
              <w:rPr>
                <w:color w:val="FF9900"/>
                <w:szCs w:val="21"/>
              </w:rPr>
            </w:pPr>
            <w:r>
              <w:rPr>
                <w:szCs w:val="21"/>
              </w:rPr>
              <w:t>国有法人</w:t>
            </w:r>
          </w:p>
        </w:tc>
      </w:tr>
      <w:tr w:rsidR="00CA3278" w:rsidTr="00B76BD6">
        <w:trPr>
          <w:cantSplit/>
        </w:trPr>
        <w:tc>
          <w:tcPr>
            <w:tcW w:w="3085" w:type="dxa"/>
            <w:shd w:val="clear" w:color="auto" w:fill="auto"/>
          </w:tcPr>
          <w:p w:rsidR="00CA3278" w:rsidRDefault="00CA3278" w:rsidP="00B76BD6">
            <w:pPr>
              <w:rPr>
                <w:szCs w:val="21"/>
              </w:rPr>
            </w:pPr>
            <w:r>
              <w:t>钱江硅谷控股有限责任公司</w:t>
            </w:r>
          </w:p>
        </w:tc>
        <w:tc>
          <w:tcPr>
            <w:tcW w:w="1559" w:type="dxa"/>
            <w:gridSpan w:val="3"/>
            <w:shd w:val="clear" w:color="auto" w:fill="auto"/>
          </w:tcPr>
          <w:p w:rsidR="00CA3278" w:rsidRDefault="00CA3278" w:rsidP="00B76BD6">
            <w:pPr>
              <w:jc w:val="right"/>
              <w:rPr>
                <w:szCs w:val="21"/>
              </w:rPr>
            </w:pPr>
            <w:r>
              <w:t>22,729,832</w:t>
            </w:r>
          </w:p>
        </w:tc>
        <w:tc>
          <w:tcPr>
            <w:tcW w:w="993" w:type="dxa"/>
            <w:gridSpan w:val="2"/>
            <w:shd w:val="clear" w:color="auto" w:fill="auto"/>
          </w:tcPr>
          <w:p w:rsidR="00CA3278" w:rsidRDefault="00CA3278" w:rsidP="00B76BD6">
            <w:pPr>
              <w:jc w:val="right"/>
              <w:rPr>
                <w:szCs w:val="21"/>
              </w:rPr>
            </w:pPr>
            <w:r>
              <w:t>6.44</w:t>
            </w:r>
          </w:p>
        </w:tc>
        <w:tc>
          <w:tcPr>
            <w:tcW w:w="850" w:type="dxa"/>
            <w:shd w:val="clear" w:color="auto" w:fill="auto"/>
          </w:tcPr>
          <w:p w:rsidR="00CA3278" w:rsidRDefault="00CA3278" w:rsidP="00B76BD6">
            <w:pPr>
              <w:jc w:val="right"/>
              <w:rPr>
                <w:szCs w:val="21"/>
              </w:rPr>
            </w:pPr>
          </w:p>
        </w:tc>
        <w:tc>
          <w:tcPr>
            <w:tcW w:w="709" w:type="dxa"/>
            <w:shd w:val="clear" w:color="auto" w:fill="auto"/>
            <w:vAlign w:val="center"/>
          </w:tcPr>
          <w:p w:rsidR="00CA3278" w:rsidRDefault="00CA3278" w:rsidP="00B76BD6">
            <w:pPr>
              <w:jc w:val="center"/>
              <w:rPr>
                <w:color w:val="FF9900"/>
                <w:szCs w:val="21"/>
              </w:rPr>
            </w:pPr>
            <w:r>
              <w:rPr>
                <w:szCs w:val="21"/>
              </w:rPr>
              <w:t>无</w:t>
            </w:r>
          </w:p>
        </w:tc>
        <w:tc>
          <w:tcPr>
            <w:tcW w:w="567" w:type="dxa"/>
            <w:shd w:val="clear" w:color="auto" w:fill="auto"/>
          </w:tcPr>
          <w:p w:rsidR="00CA3278" w:rsidRDefault="00CA3278" w:rsidP="00B76BD6">
            <w:pPr>
              <w:jc w:val="right"/>
              <w:rPr>
                <w:szCs w:val="21"/>
              </w:rPr>
            </w:pPr>
          </w:p>
        </w:tc>
        <w:tc>
          <w:tcPr>
            <w:tcW w:w="1134" w:type="dxa"/>
            <w:shd w:val="clear" w:color="auto" w:fill="auto"/>
          </w:tcPr>
          <w:p w:rsidR="00CA3278" w:rsidRDefault="00CA3278" w:rsidP="00B76BD6">
            <w:pPr>
              <w:jc w:val="center"/>
              <w:rPr>
                <w:color w:val="FF9900"/>
                <w:szCs w:val="21"/>
              </w:rPr>
            </w:pPr>
            <w:r>
              <w:rPr>
                <w:szCs w:val="21"/>
              </w:rPr>
              <w:t>国有法人</w:t>
            </w:r>
          </w:p>
        </w:tc>
      </w:tr>
      <w:tr w:rsidR="00CA3278" w:rsidTr="00B76BD6">
        <w:trPr>
          <w:cantSplit/>
        </w:trPr>
        <w:tc>
          <w:tcPr>
            <w:tcW w:w="3085" w:type="dxa"/>
            <w:shd w:val="clear" w:color="auto" w:fill="auto"/>
          </w:tcPr>
          <w:p w:rsidR="00CA3278" w:rsidRDefault="00CA3278" w:rsidP="00B76BD6">
            <w:pPr>
              <w:rPr>
                <w:szCs w:val="21"/>
              </w:rPr>
            </w:pPr>
            <w:r>
              <w:t>浙江省水电实业公司</w:t>
            </w:r>
          </w:p>
        </w:tc>
        <w:tc>
          <w:tcPr>
            <w:tcW w:w="1559" w:type="dxa"/>
            <w:gridSpan w:val="3"/>
            <w:shd w:val="clear" w:color="auto" w:fill="auto"/>
          </w:tcPr>
          <w:p w:rsidR="00CA3278" w:rsidRDefault="00CA3278" w:rsidP="00B76BD6">
            <w:pPr>
              <w:jc w:val="right"/>
              <w:rPr>
                <w:szCs w:val="21"/>
              </w:rPr>
            </w:pPr>
            <w:r>
              <w:t>16,077,044</w:t>
            </w:r>
          </w:p>
        </w:tc>
        <w:tc>
          <w:tcPr>
            <w:tcW w:w="993" w:type="dxa"/>
            <w:gridSpan w:val="2"/>
            <w:shd w:val="clear" w:color="auto" w:fill="auto"/>
          </w:tcPr>
          <w:p w:rsidR="00CA3278" w:rsidRDefault="00CA3278" w:rsidP="00B76BD6">
            <w:pPr>
              <w:jc w:val="right"/>
              <w:rPr>
                <w:szCs w:val="21"/>
              </w:rPr>
            </w:pPr>
            <w:r>
              <w:t>4.55</w:t>
            </w:r>
          </w:p>
        </w:tc>
        <w:tc>
          <w:tcPr>
            <w:tcW w:w="850" w:type="dxa"/>
            <w:shd w:val="clear" w:color="auto" w:fill="auto"/>
          </w:tcPr>
          <w:p w:rsidR="00CA3278" w:rsidRDefault="00CA3278" w:rsidP="00B76BD6">
            <w:pPr>
              <w:jc w:val="right"/>
              <w:rPr>
                <w:szCs w:val="21"/>
              </w:rPr>
            </w:pPr>
          </w:p>
        </w:tc>
        <w:tc>
          <w:tcPr>
            <w:tcW w:w="709" w:type="dxa"/>
            <w:shd w:val="clear" w:color="auto" w:fill="auto"/>
            <w:vAlign w:val="center"/>
          </w:tcPr>
          <w:p w:rsidR="00CA3278" w:rsidRDefault="00CA3278" w:rsidP="00B76BD6">
            <w:pPr>
              <w:jc w:val="center"/>
              <w:rPr>
                <w:color w:val="FF9900"/>
                <w:szCs w:val="21"/>
              </w:rPr>
            </w:pPr>
            <w:r>
              <w:rPr>
                <w:szCs w:val="21"/>
              </w:rPr>
              <w:t>无</w:t>
            </w:r>
          </w:p>
        </w:tc>
        <w:tc>
          <w:tcPr>
            <w:tcW w:w="567" w:type="dxa"/>
            <w:shd w:val="clear" w:color="auto" w:fill="auto"/>
          </w:tcPr>
          <w:p w:rsidR="00CA3278" w:rsidRDefault="00CA3278" w:rsidP="00B76BD6">
            <w:pPr>
              <w:jc w:val="right"/>
              <w:rPr>
                <w:szCs w:val="21"/>
              </w:rPr>
            </w:pPr>
          </w:p>
        </w:tc>
        <w:tc>
          <w:tcPr>
            <w:tcW w:w="1134" w:type="dxa"/>
            <w:shd w:val="clear" w:color="auto" w:fill="auto"/>
          </w:tcPr>
          <w:p w:rsidR="00CA3278" w:rsidRDefault="00CA3278" w:rsidP="00B76BD6">
            <w:pPr>
              <w:jc w:val="center"/>
              <w:rPr>
                <w:color w:val="FF9900"/>
                <w:szCs w:val="21"/>
              </w:rPr>
            </w:pPr>
            <w:r>
              <w:rPr>
                <w:szCs w:val="21"/>
              </w:rPr>
              <w:t>国有法人</w:t>
            </w:r>
          </w:p>
        </w:tc>
      </w:tr>
      <w:tr w:rsidR="00CA3278" w:rsidTr="00B76BD6">
        <w:trPr>
          <w:cantSplit/>
        </w:trPr>
        <w:tc>
          <w:tcPr>
            <w:tcW w:w="3085" w:type="dxa"/>
            <w:shd w:val="clear" w:color="auto" w:fill="auto"/>
          </w:tcPr>
          <w:p w:rsidR="00CA3278" w:rsidRDefault="00CA3278" w:rsidP="00B76BD6">
            <w:pPr>
              <w:rPr>
                <w:szCs w:val="21"/>
              </w:rPr>
            </w:pPr>
            <w:r>
              <w:t>叶德资</w:t>
            </w:r>
          </w:p>
        </w:tc>
        <w:tc>
          <w:tcPr>
            <w:tcW w:w="1559" w:type="dxa"/>
            <w:gridSpan w:val="3"/>
            <w:shd w:val="clear" w:color="auto" w:fill="auto"/>
          </w:tcPr>
          <w:p w:rsidR="00CA3278" w:rsidRDefault="00CA3278" w:rsidP="00B76BD6">
            <w:pPr>
              <w:jc w:val="right"/>
              <w:rPr>
                <w:szCs w:val="21"/>
              </w:rPr>
            </w:pPr>
            <w:r>
              <w:t>1,816,442</w:t>
            </w:r>
          </w:p>
        </w:tc>
        <w:tc>
          <w:tcPr>
            <w:tcW w:w="993" w:type="dxa"/>
            <w:gridSpan w:val="2"/>
            <w:shd w:val="clear" w:color="auto" w:fill="auto"/>
          </w:tcPr>
          <w:p w:rsidR="00CA3278" w:rsidRDefault="00CA3278" w:rsidP="00B76BD6">
            <w:pPr>
              <w:jc w:val="right"/>
              <w:rPr>
                <w:szCs w:val="21"/>
              </w:rPr>
            </w:pPr>
            <w:r>
              <w:t>0.51</w:t>
            </w:r>
          </w:p>
        </w:tc>
        <w:tc>
          <w:tcPr>
            <w:tcW w:w="850" w:type="dxa"/>
            <w:shd w:val="clear" w:color="auto" w:fill="auto"/>
          </w:tcPr>
          <w:p w:rsidR="00CA3278" w:rsidRDefault="00CA3278" w:rsidP="00B76BD6">
            <w:pPr>
              <w:jc w:val="right"/>
              <w:rPr>
                <w:szCs w:val="21"/>
              </w:rPr>
            </w:pPr>
          </w:p>
        </w:tc>
        <w:tc>
          <w:tcPr>
            <w:tcW w:w="709" w:type="dxa"/>
            <w:shd w:val="clear" w:color="auto" w:fill="auto"/>
            <w:vAlign w:val="center"/>
          </w:tcPr>
          <w:p w:rsidR="00CA3278" w:rsidRDefault="00CA3278" w:rsidP="00B76BD6">
            <w:pPr>
              <w:jc w:val="center"/>
              <w:rPr>
                <w:color w:val="FF9900"/>
                <w:szCs w:val="21"/>
              </w:rPr>
            </w:pPr>
            <w:r>
              <w:rPr>
                <w:szCs w:val="21"/>
              </w:rPr>
              <w:t>未知</w:t>
            </w:r>
          </w:p>
        </w:tc>
        <w:tc>
          <w:tcPr>
            <w:tcW w:w="567" w:type="dxa"/>
            <w:shd w:val="clear" w:color="auto" w:fill="auto"/>
          </w:tcPr>
          <w:p w:rsidR="00CA3278" w:rsidRDefault="00CA3278" w:rsidP="00B76BD6">
            <w:pPr>
              <w:jc w:val="right"/>
              <w:rPr>
                <w:szCs w:val="21"/>
              </w:rPr>
            </w:pPr>
          </w:p>
        </w:tc>
        <w:tc>
          <w:tcPr>
            <w:tcW w:w="1134" w:type="dxa"/>
            <w:shd w:val="clear" w:color="auto" w:fill="auto"/>
          </w:tcPr>
          <w:p w:rsidR="00CA3278" w:rsidRDefault="00CA3278" w:rsidP="00B76BD6">
            <w:pPr>
              <w:jc w:val="center"/>
              <w:rPr>
                <w:color w:val="FF9900"/>
                <w:szCs w:val="21"/>
              </w:rPr>
            </w:pPr>
            <w:r>
              <w:rPr>
                <w:szCs w:val="21"/>
              </w:rPr>
              <w:t>其他</w:t>
            </w:r>
          </w:p>
        </w:tc>
      </w:tr>
      <w:tr w:rsidR="00CA3278" w:rsidTr="00B76BD6">
        <w:trPr>
          <w:cantSplit/>
        </w:trPr>
        <w:tc>
          <w:tcPr>
            <w:tcW w:w="3085" w:type="dxa"/>
            <w:shd w:val="clear" w:color="auto" w:fill="auto"/>
          </w:tcPr>
          <w:p w:rsidR="00CA3278" w:rsidRDefault="00CA3278" w:rsidP="00B76BD6">
            <w:pPr>
              <w:rPr>
                <w:szCs w:val="21"/>
              </w:rPr>
            </w:pPr>
            <w:r>
              <w:t>高建勇</w:t>
            </w:r>
          </w:p>
        </w:tc>
        <w:tc>
          <w:tcPr>
            <w:tcW w:w="1559" w:type="dxa"/>
            <w:gridSpan w:val="3"/>
            <w:shd w:val="clear" w:color="auto" w:fill="auto"/>
          </w:tcPr>
          <w:p w:rsidR="00CA3278" w:rsidRDefault="00CA3278" w:rsidP="00B76BD6">
            <w:pPr>
              <w:jc w:val="right"/>
              <w:rPr>
                <w:szCs w:val="21"/>
              </w:rPr>
            </w:pPr>
            <w:r>
              <w:t>1,462,005</w:t>
            </w:r>
          </w:p>
        </w:tc>
        <w:tc>
          <w:tcPr>
            <w:tcW w:w="993" w:type="dxa"/>
            <w:gridSpan w:val="2"/>
            <w:shd w:val="clear" w:color="auto" w:fill="auto"/>
          </w:tcPr>
          <w:p w:rsidR="00CA3278" w:rsidRDefault="00CA3278" w:rsidP="00B76BD6">
            <w:pPr>
              <w:jc w:val="right"/>
              <w:rPr>
                <w:szCs w:val="21"/>
              </w:rPr>
            </w:pPr>
            <w:r>
              <w:t>0.41</w:t>
            </w:r>
          </w:p>
        </w:tc>
        <w:tc>
          <w:tcPr>
            <w:tcW w:w="850" w:type="dxa"/>
            <w:shd w:val="clear" w:color="auto" w:fill="auto"/>
          </w:tcPr>
          <w:p w:rsidR="00CA3278" w:rsidRDefault="00CA3278" w:rsidP="00B76BD6">
            <w:pPr>
              <w:jc w:val="right"/>
              <w:rPr>
                <w:szCs w:val="21"/>
              </w:rPr>
            </w:pPr>
          </w:p>
        </w:tc>
        <w:tc>
          <w:tcPr>
            <w:tcW w:w="709" w:type="dxa"/>
            <w:shd w:val="clear" w:color="auto" w:fill="auto"/>
            <w:vAlign w:val="center"/>
          </w:tcPr>
          <w:p w:rsidR="00CA3278" w:rsidRDefault="00CA3278" w:rsidP="00B76BD6">
            <w:pPr>
              <w:jc w:val="center"/>
              <w:rPr>
                <w:color w:val="FF9900"/>
                <w:szCs w:val="21"/>
              </w:rPr>
            </w:pPr>
            <w:r>
              <w:rPr>
                <w:szCs w:val="21"/>
              </w:rPr>
              <w:t>未知</w:t>
            </w:r>
          </w:p>
        </w:tc>
        <w:tc>
          <w:tcPr>
            <w:tcW w:w="567" w:type="dxa"/>
            <w:shd w:val="clear" w:color="auto" w:fill="auto"/>
          </w:tcPr>
          <w:p w:rsidR="00CA3278" w:rsidRDefault="00CA3278" w:rsidP="00B76BD6">
            <w:pPr>
              <w:jc w:val="right"/>
              <w:rPr>
                <w:szCs w:val="21"/>
              </w:rPr>
            </w:pPr>
          </w:p>
        </w:tc>
        <w:tc>
          <w:tcPr>
            <w:tcW w:w="1134" w:type="dxa"/>
            <w:shd w:val="clear" w:color="auto" w:fill="auto"/>
          </w:tcPr>
          <w:p w:rsidR="00CA3278" w:rsidRDefault="00CA3278" w:rsidP="00B76BD6">
            <w:pPr>
              <w:jc w:val="center"/>
              <w:rPr>
                <w:color w:val="FF9900"/>
                <w:szCs w:val="21"/>
              </w:rPr>
            </w:pPr>
            <w:r>
              <w:rPr>
                <w:szCs w:val="21"/>
              </w:rPr>
              <w:t>其他</w:t>
            </w:r>
          </w:p>
        </w:tc>
      </w:tr>
      <w:tr w:rsidR="00CA3278" w:rsidTr="00B76BD6">
        <w:trPr>
          <w:cantSplit/>
        </w:trPr>
        <w:tc>
          <w:tcPr>
            <w:tcW w:w="3085" w:type="dxa"/>
            <w:shd w:val="clear" w:color="auto" w:fill="auto"/>
          </w:tcPr>
          <w:p w:rsidR="00CA3278" w:rsidRDefault="00CA3278" w:rsidP="00B76BD6">
            <w:pPr>
              <w:rPr>
                <w:szCs w:val="21"/>
              </w:rPr>
            </w:pPr>
            <w:r>
              <w:t>林珍</w:t>
            </w:r>
          </w:p>
        </w:tc>
        <w:tc>
          <w:tcPr>
            <w:tcW w:w="1559" w:type="dxa"/>
            <w:gridSpan w:val="3"/>
            <w:shd w:val="clear" w:color="auto" w:fill="auto"/>
          </w:tcPr>
          <w:p w:rsidR="00CA3278" w:rsidRDefault="00CA3278" w:rsidP="00B76BD6">
            <w:pPr>
              <w:jc w:val="right"/>
              <w:rPr>
                <w:szCs w:val="21"/>
              </w:rPr>
            </w:pPr>
            <w:r>
              <w:t>820,000</w:t>
            </w:r>
          </w:p>
        </w:tc>
        <w:tc>
          <w:tcPr>
            <w:tcW w:w="993" w:type="dxa"/>
            <w:gridSpan w:val="2"/>
            <w:shd w:val="clear" w:color="auto" w:fill="auto"/>
          </w:tcPr>
          <w:p w:rsidR="00CA3278" w:rsidRDefault="00CA3278" w:rsidP="00B76BD6">
            <w:pPr>
              <w:jc w:val="right"/>
              <w:rPr>
                <w:szCs w:val="21"/>
              </w:rPr>
            </w:pPr>
            <w:r>
              <w:t>0.23</w:t>
            </w:r>
          </w:p>
        </w:tc>
        <w:tc>
          <w:tcPr>
            <w:tcW w:w="850" w:type="dxa"/>
            <w:shd w:val="clear" w:color="auto" w:fill="auto"/>
          </w:tcPr>
          <w:p w:rsidR="00CA3278" w:rsidRDefault="00CA3278" w:rsidP="00B76BD6">
            <w:pPr>
              <w:jc w:val="right"/>
              <w:rPr>
                <w:szCs w:val="21"/>
              </w:rPr>
            </w:pPr>
          </w:p>
        </w:tc>
        <w:tc>
          <w:tcPr>
            <w:tcW w:w="709" w:type="dxa"/>
            <w:shd w:val="clear" w:color="auto" w:fill="auto"/>
            <w:vAlign w:val="center"/>
          </w:tcPr>
          <w:p w:rsidR="00CA3278" w:rsidRDefault="00CA3278" w:rsidP="00B76BD6">
            <w:pPr>
              <w:jc w:val="center"/>
              <w:rPr>
                <w:color w:val="FF9900"/>
                <w:szCs w:val="21"/>
              </w:rPr>
            </w:pPr>
            <w:r>
              <w:rPr>
                <w:szCs w:val="21"/>
              </w:rPr>
              <w:t>未知</w:t>
            </w:r>
          </w:p>
        </w:tc>
        <w:tc>
          <w:tcPr>
            <w:tcW w:w="567" w:type="dxa"/>
            <w:shd w:val="clear" w:color="auto" w:fill="auto"/>
          </w:tcPr>
          <w:p w:rsidR="00CA3278" w:rsidRDefault="00CA3278" w:rsidP="00B76BD6">
            <w:pPr>
              <w:jc w:val="right"/>
              <w:rPr>
                <w:szCs w:val="21"/>
              </w:rPr>
            </w:pPr>
          </w:p>
        </w:tc>
        <w:tc>
          <w:tcPr>
            <w:tcW w:w="1134" w:type="dxa"/>
            <w:shd w:val="clear" w:color="auto" w:fill="auto"/>
          </w:tcPr>
          <w:p w:rsidR="00CA3278" w:rsidRDefault="00CA3278" w:rsidP="00B76BD6">
            <w:pPr>
              <w:jc w:val="center"/>
              <w:rPr>
                <w:color w:val="FF9900"/>
                <w:szCs w:val="21"/>
              </w:rPr>
            </w:pPr>
            <w:r>
              <w:rPr>
                <w:szCs w:val="21"/>
              </w:rPr>
              <w:t>其他</w:t>
            </w:r>
          </w:p>
        </w:tc>
      </w:tr>
      <w:tr w:rsidR="00CA3278" w:rsidTr="00B76BD6">
        <w:trPr>
          <w:cantSplit/>
        </w:trPr>
        <w:tc>
          <w:tcPr>
            <w:tcW w:w="3085" w:type="dxa"/>
            <w:shd w:val="clear" w:color="auto" w:fill="auto"/>
          </w:tcPr>
          <w:p w:rsidR="00CA3278" w:rsidRDefault="00CA3278" w:rsidP="00B76BD6">
            <w:pPr>
              <w:rPr>
                <w:szCs w:val="21"/>
              </w:rPr>
            </w:pPr>
            <w:r>
              <w:t>王毓</w:t>
            </w:r>
          </w:p>
        </w:tc>
        <w:tc>
          <w:tcPr>
            <w:tcW w:w="1559" w:type="dxa"/>
            <w:gridSpan w:val="3"/>
            <w:shd w:val="clear" w:color="auto" w:fill="auto"/>
          </w:tcPr>
          <w:p w:rsidR="00CA3278" w:rsidRDefault="00CA3278" w:rsidP="00B76BD6">
            <w:pPr>
              <w:jc w:val="right"/>
              <w:rPr>
                <w:szCs w:val="21"/>
              </w:rPr>
            </w:pPr>
            <w:r>
              <w:t>806,400</w:t>
            </w:r>
          </w:p>
        </w:tc>
        <w:tc>
          <w:tcPr>
            <w:tcW w:w="993" w:type="dxa"/>
            <w:gridSpan w:val="2"/>
            <w:shd w:val="clear" w:color="auto" w:fill="auto"/>
          </w:tcPr>
          <w:p w:rsidR="00CA3278" w:rsidRDefault="00CA3278" w:rsidP="00B76BD6">
            <w:pPr>
              <w:jc w:val="right"/>
              <w:rPr>
                <w:szCs w:val="21"/>
              </w:rPr>
            </w:pPr>
            <w:r>
              <w:t>0.23</w:t>
            </w:r>
          </w:p>
        </w:tc>
        <w:tc>
          <w:tcPr>
            <w:tcW w:w="850" w:type="dxa"/>
            <w:shd w:val="clear" w:color="auto" w:fill="auto"/>
          </w:tcPr>
          <w:p w:rsidR="00CA3278" w:rsidRDefault="00CA3278" w:rsidP="00B76BD6">
            <w:pPr>
              <w:jc w:val="right"/>
              <w:rPr>
                <w:szCs w:val="21"/>
              </w:rPr>
            </w:pPr>
          </w:p>
        </w:tc>
        <w:tc>
          <w:tcPr>
            <w:tcW w:w="709" w:type="dxa"/>
            <w:shd w:val="clear" w:color="auto" w:fill="auto"/>
            <w:vAlign w:val="center"/>
          </w:tcPr>
          <w:p w:rsidR="00CA3278" w:rsidRDefault="00CA3278" w:rsidP="00B76BD6">
            <w:pPr>
              <w:jc w:val="center"/>
              <w:rPr>
                <w:color w:val="FF9900"/>
                <w:szCs w:val="21"/>
              </w:rPr>
            </w:pPr>
            <w:r>
              <w:rPr>
                <w:szCs w:val="21"/>
              </w:rPr>
              <w:t>未知</w:t>
            </w:r>
          </w:p>
        </w:tc>
        <w:tc>
          <w:tcPr>
            <w:tcW w:w="567" w:type="dxa"/>
            <w:shd w:val="clear" w:color="auto" w:fill="auto"/>
          </w:tcPr>
          <w:p w:rsidR="00CA3278" w:rsidRDefault="00CA3278" w:rsidP="00B76BD6">
            <w:pPr>
              <w:jc w:val="right"/>
              <w:rPr>
                <w:szCs w:val="21"/>
              </w:rPr>
            </w:pPr>
          </w:p>
        </w:tc>
        <w:tc>
          <w:tcPr>
            <w:tcW w:w="1134" w:type="dxa"/>
            <w:shd w:val="clear" w:color="auto" w:fill="auto"/>
          </w:tcPr>
          <w:p w:rsidR="00CA3278" w:rsidRDefault="00CA3278" w:rsidP="00B76BD6">
            <w:pPr>
              <w:jc w:val="center"/>
              <w:rPr>
                <w:color w:val="FF9900"/>
                <w:szCs w:val="21"/>
              </w:rPr>
            </w:pPr>
            <w:r>
              <w:rPr>
                <w:szCs w:val="21"/>
              </w:rPr>
              <w:t>其他</w:t>
            </w:r>
          </w:p>
        </w:tc>
      </w:tr>
      <w:tr w:rsidR="00CA3278" w:rsidTr="00B76BD6">
        <w:trPr>
          <w:cantSplit/>
        </w:trPr>
        <w:tc>
          <w:tcPr>
            <w:tcW w:w="3085" w:type="dxa"/>
            <w:shd w:val="clear" w:color="auto" w:fill="auto"/>
          </w:tcPr>
          <w:p w:rsidR="00CA3278" w:rsidRDefault="00CA3278" w:rsidP="00B76BD6">
            <w:pPr>
              <w:rPr>
                <w:szCs w:val="21"/>
              </w:rPr>
            </w:pPr>
            <w:r>
              <w:t>梁志军</w:t>
            </w:r>
          </w:p>
        </w:tc>
        <w:tc>
          <w:tcPr>
            <w:tcW w:w="1559" w:type="dxa"/>
            <w:gridSpan w:val="3"/>
            <w:shd w:val="clear" w:color="auto" w:fill="auto"/>
          </w:tcPr>
          <w:p w:rsidR="00CA3278" w:rsidRDefault="00CA3278" w:rsidP="00B76BD6">
            <w:pPr>
              <w:jc w:val="right"/>
              <w:rPr>
                <w:szCs w:val="21"/>
              </w:rPr>
            </w:pPr>
            <w:r>
              <w:t>551,595</w:t>
            </w:r>
          </w:p>
        </w:tc>
        <w:tc>
          <w:tcPr>
            <w:tcW w:w="993" w:type="dxa"/>
            <w:gridSpan w:val="2"/>
            <w:shd w:val="clear" w:color="auto" w:fill="auto"/>
          </w:tcPr>
          <w:p w:rsidR="00CA3278" w:rsidRDefault="00CA3278" w:rsidP="00B76BD6">
            <w:pPr>
              <w:jc w:val="right"/>
              <w:rPr>
                <w:szCs w:val="21"/>
              </w:rPr>
            </w:pPr>
            <w:r>
              <w:t>0.16</w:t>
            </w:r>
          </w:p>
        </w:tc>
        <w:tc>
          <w:tcPr>
            <w:tcW w:w="850" w:type="dxa"/>
            <w:shd w:val="clear" w:color="auto" w:fill="auto"/>
          </w:tcPr>
          <w:p w:rsidR="00CA3278" w:rsidRDefault="00CA3278" w:rsidP="00B76BD6">
            <w:pPr>
              <w:jc w:val="right"/>
              <w:rPr>
                <w:szCs w:val="21"/>
              </w:rPr>
            </w:pPr>
          </w:p>
        </w:tc>
        <w:tc>
          <w:tcPr>
            <w:tcW w:w="709" w:type="dxa"/>
            <w:shd w:val="clear" w:color="auto" w:fill="auto"/>
            <w:vAlign w:val="center"/>
          </w:tcPr>
          <w:p w:rsidR="00CA3278" w:rsidRDefault="00CA3278" w:rsidP="00B76BD6">
            <w:pPr>
              <w:jc w:val="center"/>
              <w:rPr>
                <w:color w:val="FF9900"/>
                <w:szCs w:val="21"/>
              </w:rPr>
            </w:pPr>
            <w:r>
              <w:rPr>
                <w:szCs w:val="21"/>
              </w:rPr>
              <w:t>未知</w:t>
            </w:r>
          </w:p>
        </w:tc>
        <w:tc>
          <w:tcPr>
            <w:tcW w:w="567" w:type="dxa"/>
            <w:shd w:val="clear" w:color="auto" w:fill="auto"/>
          </w:tcPr>
          <w:p w:rsidR="00CA3278" w:rsidRDefault="00CA3278" w:rsidP="00B76BD6">
            <w:pPr>
              <w:jc w:val="right"/>
              <w:rPr>
                <w:szCs w:val="21"/>
              </w:rPr>
            </w:pPr>
          </w:p>
        </w:tc>
        <w:tc>
          <w:tcPr>
            <w:tcW w:w="1134" w:type="dxa"/>
            <w:shd w:val="clear" w:color="auto" w:fill="auto"/>
          </w:tcPr>
          <w:p w:rsidR="00CA3278" w:rsidRDefault="00CA3278" w:rsidP="00B76BD6">
            <w:pPr>
              <w:jc w:val="center"/>
              <w:rPr>
                <w:color w:val="FF9900"/>
                <w:szCs w:val="21"/>
              </w:rPr>
            </w:pPr>
            <w:r>
              <w:rPr>
                <w:szCs w:val="21"/>
              </w:rPr>
              <w:t>其他</w:t>
            </w:r>
          </w:p>
        </w:tc>
      </w:tr>
      <w:tr w:rsidR="00CA3278" w:rsidTr="00B76BD6">
        <w:trPr>
          <w:cantSplit/>
        </w:trPr>
        <w:tc>
          <w:tcPr>
            <w:tcW w:w="3085" w:type="dxa"/>
            <w:shd w:val="clear" w:color="auto" w:fill="auto"/>
          </w:tcPr>
          <w:p w:rsidR="00CA3278" w:rsidRDefault="00CA3278" w:rsidP="00B76BD6">
            <w:pPr>
              <w:rPr>
                <w:szCs w:val="21"/>
              </w:rPr>
            </w:pPr>
            <w:r>
              <w:t>李四清</w:t>
            </w:r>
          </w:p>
        </w:tc>
        <w:tc>
          <w:tcPr>
            <w:tcW w:w="1559" w:type="dxa"/>
            <w:gridSpan w:val="3"/>
            <w:shd w:val="clear" w:color="auto" w:fill="auto"/>
          </w:tcPr>
          <w:p w:rsidR="00CA3278" w:rsidRDefault="00CA3278" w:rsidP="00B76BD6">
            <w:pPr>
              <w:jc w:val="right"/>
              <w:rPr>
                <w:szCs w:val="21"/>
              </w:rPr>
            </w:pPr>
            <w:r>
              <w:t>537,000</w:t>
            </w:r>
          </w:p>
        </w:tc>
        <w:tc>
          <w:tcPr>
            <w:tcW w:w="993" w:type="dxa"/>
            <w:gridSpan w:val="2"/>
            <w:shd w:val="clear" w:color="auto" w:fill="auto"/>
          </w:tcPr>
          <w:p w:rsidR="00CA3278" w:rsidRDefault="00CA3278" w:rsidP="00B76BD6">
            <w:pPr>
              <w:jc w:val="right"/>
              <w:rPr>
                <w:szCs w:val="21"/>
              </w:rPr>
            </w:pPr>
            <w:r>
              <w:t>0.15</w:t>
            </w:r>
          </w:p>
        </w:tc>
        <w:tc>
          <w:tcPr>
            <w:tcW w:w="850" w:type="dxa"/>
            <w:shd w:val="clear" w:color="auto" w:fill="auto"/>
          </w:tcPr>
          <w:p w:rsidR="00CA3278" w:rsidRDefault="00CA3278" w:rsidP="00B76BD6">
            <w:pPr>
              <w:jc w:val="right"/>
              <w:rPr>
                <w:szCs w:val="21"/>
              </w:rPr>
            </w:pPr>
          </w:p>
        </w:tc>
        <w:tc>
          <w:tcPr>
            <w:tcW w:w="709" w:type="dxa"/>
            <w:shd w:val="clear" w:color="auto" w:fill="auto"/>
            <w:vAlign w:val="center"/>
          </w:tcPr>
          <w:p w:rsidR="00CA3278" w:rsidRDefault="00CA3278" w:rsidP="00B76BD6">
            <w:pPr>
              <w:jc w:val="center"/>
              <w:rPr>
                <w:color w:val="FF9900"/>
                <w:szCs w:val="21"/>
              </w:rPr>
            </w:pPr>
            <w:r>
              <w:rPr>
                <w:szCs w:val="21"/>
              </w:rPr>
              <w:t>未知</w:t>
            </w:r>
          </w:p>
        </w:tc>
        <w:tc>
          <w:tcPr>
            <w:tcW w:w="567" w:type="dxa"/>
            <w:shd w:val="clear" w:color="auto" w:fill="auto"/>
          </w:tcPr>
          <w:p w:rsidR="00CA3278" w:rsidRDefault="00CA3278" w:rsidP="00B76BD6">
            <w:pPr>
              <w:jc w:val="right"/>
              <w:rPr>
                <w:szCs w:val="21"/>
              </w:rPr>
            </w:pPr>
          </w:p>
        </w:tc>
        <w:tc>
          <w:tcPr>
            <w:tcW w:w="1134" w:type="dxa"/>
            <w:shd w:val="clear" w:color="auto" w:fill="auto"/>
          </w:tcPr>
          <w:p w:rsidR="00CA3278" w:rsidRDefault="00CA3278" w:rsidP="00B76BD6">
            <w:pPr>
              <w:jc w:val="center"/>
              <w:rPr>
                <w:color w:val="FF9900"/>
                <w:szCs w:val="21"/>
              </w:rPr>
            </w:pPr>
            <w:r>
              <w:rPr>
                <w:szCs w:val="21"/>
              </w:rPr>
              <w:t>其他</w:t>
            </w:r>
          </w:p>
        </w:tc>
      </w:tr>
      <w:tr w:rsidR="00CA3278" w:rsidTr="00B76BD6">
        <w:trPr>
          <w:cantSplit/>
        </w:trPr>
        <w:tc>
          <w:tcPr>
            <w:tcW w:w="8897" w:type="dxa"/>
            <w:gridSpan w:val="10"/>
            <w:shd w:val="clear" w:color="auto" w:fill="auto"/>
          </w:tcPr>
          <w:p w:rsidR="00CA3278" w:rsidRDefault="00CA3278" w:rsidP="00B76BD6">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CA3278" w:rsidTr="00B76BD6">
        <w:trPr>
          <w:cantSplit/>
        </w:trPr>
        <w:tc>
          <w:tcPr>
            <w:tcW w:w="3652" w:type="dxa"/>
            <w:gridSpan w:val="2"/>
            <w:vMerge w:val="restart"/>
            <w:shd w:val="clear" w:color="auto" w:fill="auto"/>
          </w:tcPr>
          <w:p w:rsidR="00CA3278" w:rsidRDefault="00CA3278" w:rsidP="00B76BD6">
            <w:pPr>
              <w:rPr>
                <w:color w:val="FF9900"/>
                <w:szCs w:val="21"/>
              </w:rPr>
            </w:pPr>
            <w:r>
              <w:t>股东名称</w:t>
            </w:r>
          </w:p>
        </w:tc>
        <w:tc>
          <w:tcPr>
            <w:tcW w:w="1957" w:type="dxa"/>
            <w:gridSpan w:val="3"/>
            <w:vMerge w:val="restart"/>
            <w:shd w:val="clear" w:color="auto" w:fill="auto"/>
          </w:tcPr>
          <w:p w:rsidR="00CA3278" w:rsidRDefault="00CA3278" w:rsidP="00B76BD6">
            <w:pPr>
              <w:jc w:val="center"/>
              <w:rPr>
                <w:color w:val="FF9900"/>
                <w:szCs w:val="21"/>
              </w:rPr>
            </w:pPr>
            <w:r>
              <w:t>持有无限</w:t>
            </w:r>
            <w:proofErr w:type="gramStart"/>
            <w:r>
              <w:t>售条件</w:t>
            </w:r>
            <w:proofErr w:type="gramEnd"/>
            <w:r>
              <w:t>流通股的数量</w:t>
            </w:r>
          </w:p>
        </w:tc>
        <w:tc>
          <w:tcPr>
            <w:tcW w:w="3288" w:type="dxa"/>
            <w:gridSpan w:val="5"/>
            <w:tcBorders>
              <w:bottom w:val="single" w:sz="4" w:space="0" w:color="auto"/>
            </w:tcBorders>
            <w:shd w:val="clear" w:color="auto" w:fill="auto"/>
          </w:tcPr>
          <w:p w:rsidR="00CA3278" w:rsidRDefault="00CA3278" w:rsidP="00B76BD6">
            <w:pPr>
              <w:jc w:val="center"/>
              <w:rPr>
                <w:color w:val="FF9900"/>
                <w:szCs w:val="21"/>
              </w:rPr>
            </w:pPr>
            <w:r>
              <w:rPr>
                <w:szCs w:val="21"/>
              </w:rPr>
              <w:t>股份种类</w:t>
            </w:r>
            <w:r>
              <w:rPr>
                <w:rFonts w:hint="eastAsia"/>
                <w:szCs w:val="21"/>
              </w:rPr>
              <w:t>及数量</w:t>
            </w:r>
          </w:p>
        </w:tc>
      </w:tr>
      <w:tr w:rsidR="00CA3278" w:rsidTr="00B76BD6">
        <w:trPr>
          <w:cantSplit/>
        </w:trPr>
        <w:tc>
          <w:tcPr>
            <w:tcW w:w="3652" w:type="dxa"/>
            <w:gridSpan w:val="2"/>
            <w:vMerge/>
            <w:shd w:val="clear" w:color="auto" w:fill="auto"/>
          </w:tcPr>
          <w:p w:rsidR="00CA3278" w:rsidRDefault="00CA3278" w:rsidP="00B76BD6">
            <w:pPr>
              <w:rPr>
                <w:color w:val="FF9900"/>
                <w:szCs w:val="21"/>
              </w:rPr>
            </w:pPr>
          </w:p>
        </w:tc>
        <w:tc>
          <w:tcPr>
            <w:tcW w:w="1957" w:type="dxa"/>
            <w:gridSpan w:val="3"/>
            <w:vMerge/>
            <w:shd w:val="clear" w:color="auto" w:fill="auto"/>
          </w:tcPr>
          <w:p w:rsidR="00CA3278" w:rsidRDefault="00CA3278" w:rsidP="00B76BD6">
            <w:pPr>
              <w:rPr>
                <w:color w:val="FF9900"/>
                <w:szCs w:val="21"/>
              </w:rPr>
            </w:pPr>
          </w:p>
        </w:tc>
        <w:tc>
          <w:tcPr>
            <w:tcW w:w="1587" w:type="dxa"/>
            <w:gridSpan w:val="3"/>
            <w:shd w:val="clear" w:color="auto" w:fill="auto"/>
            <w:vAlign w:val="center"/>
          </w:tcPr>
          <w:p w:rsidR="00CA3278" w:rsidRDefault="00CA3278" w:rsidP="00B76BD6">
            <w:pPr>
              <w:jc w:val="center"/>
              <w:rPr>
                <w:color w:val="008000"/>
                <w:szCs w:val="21"/>
              </w:rPr>
            </w:pPr>
            <w:r>
              <w:rPr>
                <w:rFonts w:hint="eastAsia"/>
                <w:szCs w:val="21"/>
              </w:rPr>
              <w:t>种类</w:t>
            </w:r>
          </w:p>
        </w:tc>
        <w:tc>
          <w:tcPr>
            <w:tcW w:w="1701" w:type="dxa"/>
            <w:gridSpan w:val="2"/>
            <w:shd w:val="clear" w:color="auto" w:fill="auto"/>
          </w:tcPr>
          <w:p w:rsidR="00CA3278" w:rsidRDefault="00CA3278" w:rsidP="00B76BD6">
            <w:pPr>
              <w:jc w:val="center"/>
              <w:rPr>
                <w:color w:val="008000"/>
                <w:szCs w:val="21"/>
              </w:rPr>
            </w:pPr>
            <w:r>
              <w:rPr>
                <w:rFonts w:cs="宋体" w:hint="eastAsia"/>
                <w:szCs w:val="21"/>
              </w:rPr>
              <w:t>数量</w:t>
            </w:r>
          </w:p>
        </w:tc>
      </w:tr>
      <w:tr w:rsidR="00CA3278" w:rsidTr="00B76BD6">
        <w:trPr>
          <w:cantSplit/>
        </w:trPr>
        <w:tc>
          <w:tcPr>
            <w:tcW w:w="3652" w:type="dxa"/>
            <w:gridSpan w:val="2"/>
            <w:shd w:val="clear" w:color="auto" w:fill="auto"/>
          </w:tcPr>
          <w:p w:rsidR="00CA3278" w:rsidRDefault="00CA3278" w:rsidP="00B76BD6">
            <w:pPr>
              <w:rPr>
                <w:szCs w:val="21"/>
              </w:rPr>
            </w:pPr>
            <w:r>
              <w:t>中国水务投资有限公司</w:t>
            </w:r>
          </w:p>
        </w:tc>
        <w:tc>
          <w:tcPr>
            <w:tcW w:w="1957" w:type="dxa"/>
            <w:gridSpan w:val="3"/>
            <w:shd w:val="clear" w:color="auto" w:fill="auto"/>
          </w:tcPr>
          <w:p w:rsidR="00CA3278" w:rsidRDefault="00CA3278" w:rsidP="00B76BD6">
            <w:pPr>
              <w:jc w:val="right"/>
              <w:rPr>
                <w:szCs w:val="21"/>
              </w:rPr>
            </w:pPr>
            <w:r>
              <w:t>118,436,629</w:t>
            </w:r>
          </w:p>
        </w:tc>
        <w:tc>
          <w:tcPr>
            <w:tcW w:w="1587" w:type="dxa"/>
            <w:gridSpan w:val="3"/>
            <w:shd w:val="clear" w:color="auto" w:fill="auto"/>
            <w:vAlign w:val="center"/>
          </w:tcPr>
          <w:p w:rsidR="00CA3278" w:rsidRDefault="00CA3278" w:rsidP="00B76BD6">
            <w:pPr>
              <w:jc w:val="center"/>
              <w:rPr>
                <w:bCs/>
                <w:szCs w:val="21"/>
              </w:rPr>
            </w:pPr>
            <w:r>
              <w:rPr>
                <w:bCs/>
                <w:szCs w:val="21"/>
              </w:rPr>
              <w:t>人民币普通股</w:t>
            </w:r>
          </w:p>
        </w:tc>
        <w:tc>
          <w:tcPr>
            <w:tcW w:w="1701" w:type="dxa"/>
            <w:gridSpan w:val="2"/>
            <w:shd w:val="clear" w:color="auto" w:fill="auto"/>
          </w:tcPr>
          <w:p w:rsidR="00CA3278" w:rsidRDefault="00CA3278" w:rsidP="00B76BD6">
            <w:pPr>
              <w:jc w:val="right"/>
              <w:rPr>
                <w:szCs w:val="21"/>
              </w:rPr>
            </w:pPr>
            <w:r>
              <w:t>118,436,629</w:t>
            </w:r>
          </w:p>
        </w:tc>
      </w:tr>
      <w:tr w:rsidR="00CA3278" w:rsidTr="00B76BD6">
        <w:trPr>
          <w:cantSplit/>
        </w:trPr>
        <w:tc>
          <w:tcPr>
            <w:tcW w:w="3652" w:type="dxa"/>
            <w:gridSpan w:val="2"/>
            <w:shd w:val="clear" w:color="auto" w:fill="auto"/>
          </w:tcPr>
          <w:p w:rsidR="00CA3278" w:rsidRDefault="00CA3278" w:rsidP="00B76BD6">
            <w:pPr>
              <w:rPr>
                <w:szCs w:val="21"/>
              </w:rPr>
            </w:pPr>
            <w:r>
              <w:t>浙江省新能源投资集团股份有限公司</w:t>
            </w:r>
          </w:p>
        </w:tc>
        <w:tc>
          <w:tcPr>
            <w:tcW w:w="1957" w:type="dxa"/>
            <w:gridSpan w:val="3"/>
            <w:shd w:val="clear" w:color="auto" w:fill="auto"/>
          </w:tcPr>
          <w:p w:rsidR="00CA3278" w:rsidRDefault="00CA3278" w:rsidP="00B76BD6">
            <w:pPr>
              <w:jc w:val="right"/>
              <w:rPr>
                <w:szCs w:val="21"/>
              </w:rPr>
            </w:pPr>
            <w:r>
              <w:t>89,802,172</w:t>
            </w:r>
          </w:p>
        </w:tc>
        <w:tc>
          <w:tcPr>
            <w:tcW w:w="1587" w:type="dxa"/>
            <w:gridSpan w:val="3"/>
            <w:shd w:val="clear" w:color="auto" w:fill="auto"/>
            <w:vAlign w:val="center"/>
          </w:tcPr>
          <w:p w:rsidR="00CA3278" w:rsidRDefault="00CA3278" w:rsidP="00B76BD6">
            <w:pPr>
              <w:jc w:val="center"/>
              <w:rPr>
                <w:bCs/>
                <w:szCs w:val="21"/>
              </w:rPr>
            </w:pPr>
            <w:r>
              <w:rPr>
                <w:bCs/>
                <w:szCs w:val="21"/>
              </w:rPr>
              <w:t>人民币普通股</w:t>
            </w:r>
          </w:p>
        </w:tc>
        <w:tc>
          <w:tcPr>
            <w:tcW w:w="1701" w:type="dxa"/>
            <w:gridSpan w:val="2"/>
            <w:shd w:val="clear" w:color="auto" w:fill="auto"/>
          </w:tcPr>
          <w:p w:rsidR="00CA3278" w:rsidRDefault="00CA3278" w:rsidP="00B76BD6">
            <w:pPr>
              <w:jc w:val="right"/>
              <w:rPr>
                <w:szCs w:val="21"/>
              </w:rPr>
            </w:pPr>
            <w:r>
              <w:t>89,802,172</w:t>
            </w:r>
          </w:p>
        </w:tc>
      </w:tr>
      <w:tr w:rsidR="00CA3278" w:rsidTr="00B76BD6">
        <w:trPr>
          <w:cantSplit/>
        </w:trPr>
        <w:tc>
          <w:tcPr>
            <w:tcW w:w="3652" w:type="dxa"/>
            <w:gridSpan w:val="2"/>
            <w:shd w:val="clear" w:color="auto" w:fill="auto"/>
          </w:tcPr>
          <w:p w:rsidR="00CA3278" w:rsidRDefault="00CA3278" w:rsidP="00B76BD6">
            <w:pPr>
              <w:rPr>
                <w:szCs w:val="21"/>
              </w:rPr>
            </w:pPr>
            <w:r>
              <w:t>钱江硅谷控股有限责任公司</w:t>
            </w:r>
          </w:p>
        </w:tc>
        <w:tc>
          <w:tcPr>
            <w:tcW w:w="1957" w:type="dxa"/>
            <w:gridSpan w:val="3"/>
            <w:shd w:val="clear" w:color="auto" w:fill="auto"/>
          </w:tcPr>
          <w:p w:rsidR="00CA3278" w:rsidRDefault="00CA3278" w:rsidP="00B76BD6">
            <w:pPr>
              <w:jc w:val="right"/>
              <w:rPr>
                <w:szCs w:val="21"/>
              </w:rPr>
            </w:pPr>
            <w:r>
              <w:t>22,729,832</w:t>
            </w:r>
          </w:p>
        </w:tc>
        <w:tc>
          <w:tcPr>
            <w:tcW w:w="1587" w:type="dxa"/>
            <w:gridSpan w:val="3"/>
            <w:shd w:val="clear" w:color="auto" w:fill="auto"/>
            <w:vAlign w:val="center"/>
          </w:tcPr>
          <w:p w:rsidR="00CA3278" w:rsidRDefault="00CA3278" w:rsidP="00B76BD6">
            <w:pPr>
              <w:jc w:val="center"/>
              <w:rPr>
                <w:bCs/>
                <w:szCs w:val="21"/>
              </w:rPr>
            </w:pPr>
            <w:r>
              <w:rPr>
                <w:bCs/>
                <w:szCs w:val="21"/>
              </w:rPr>
              <w:t>人民币普通股</w:t>
            </w:r>
          </w:p>
        </w:tc>
        <w:tc>
          <w:tcPr>
            <w:tcW w:w="1701" w:type="dxa"/>
            <w:gridSpan w:val="2"/>
            <w:shd w:val="clear" w:color="auto" w:fill="auto"/>
          </w:tcPr>
          <w:p w:rsidR="00CA3278" w:rsidRDefault="00CA3278" w:rsidP="00B76BD6">
            <w:pPr>
              <w:jc w:val="right"/>
              <w:rPr>
                <w:szCs w:val="21"/>
              </w:rPr>
            </w:pPr>
            <w:r>
              <w:t>22,729,832</w:t>
            </w:r>
          </w:p>
        </w:tc>
      </w:tr>
      <w:tr w:rsidR="00CA3278" w:rsidTr="00B76BD6">
        <w:trPr>
          <w:cantSplit/>
        </w:trPr>
        <w:tc>
          <w:tcPr>
            <w:tcW w:w="3652" w:type="dxa"/>
            <w:gridSpan w:val="2"/>
            <w:shd w:val="clear" w:color="auto" w:fill="auto"/>
          </w:tcPr>
          <w:p w:rsidR="00CA3278" w:rsidRDefault="00CA3278" w:rsidP="00B76BD6">
            <w:pPr>
              <w:rPr>
                <w:szCs w:val="21"/>
              </w:rPr>
            </w:pPr>
            <w:r>
              <w:t>浙江省水电实业公司</w:t>
            </w:r>
          </w:p>
        </w:tc>
        <w:tc>
          <w:tcPr>
            <w:tcW w:w="1957" w:type="dxa"/>
            <w:gridSpan w:val="3"/>
            <w:shd w:val="clear" w:color="auto" w:fill="auto"/>
          </w:tcPr>
          <w:p w:rsidR="00CA3278" w:rsidRDefault="00CA3278" w:rsidP="00B76BD6">
            <w:pPr>
              <w:jc w:val="right"/>
              <w:rPr>
                <w:szCs w:val="21"/>
              </w:rPr>
            </w:pPr>
            <w:r>
              <w:t>16,077,044</w:t>
            </w:r>
          </w:p>
        </w:tc>
        <w:tc>
          <w:tcPr>
            <w:tcW w:w="1587" w:type="dxa"/>
            <w:gridSpan w:val="3"/>
            <w:shd w:val="clear" w:color="auto" w:fill="auto"/>
            <w:vAlign w:val="center"/>
          </w:tcPr>
          <w:p w:rsidR="00CA3278" w:rsidRDefault="00CA3278" w:rsidP="00B76BD6">
            <w:pPr>
              <w:jc w:val="center"/>
              <w:rPr>
                <w:bCs/>
                <w:szCs w:val="21"/>
              </w:rPr>
            </w:pPr>
            <w:r>
              <w:rPr>
                <w:bCs/>
                <w:szCs w:val="21"/>
              </w:rPr>
              <w:t>人民币普通股</w:t>
            </w:r>
          </w:p>
        </w:tc>
        <w:tc>
          <w:tcPr>
            <w:tcW w:w="1701" w:type="dxa"/>
            <w:gridSpan w:val="2"/>
            <w:shd w:val="clear" w:color="auto" w:fill="auto"/>
          </w:tcPr>
          <w:p w:rsidR="00CA3278" w:rsidRDefault="00CA3278" w:rsidP="00B76BD6">
            <w:pPr>
              <w:jc w:val="right"/>
              <w:rPr>
                <w:szCs w:val="21"/>
              </w:rPr>
            </w:pPr>
            <w:r>
              <w:t>16,077,044</w:t>
            </w:r>
          </w:p>
        </w:tc>
      </w:tr>
      <w:tr w:rsidR="00CA3278" w:rsidTr="00B76BD6">
        <w:trPr>
          <w:cantSplit/>
        </w:trPr>
        <w:tc>
          <w:tcPr>
            <w:tcW w:w="3652" w:type="dxa"/>
            <w:gridSpan w:val="2"/>
            <w:shd w:val="clear" w:color="auto" w:fill="auto"/>
          </w:tcPr>
          <w:p w:rsidR="00CA3278" w:rsidRDefault="00CA3278" w:rsidP="00B76BD6">
            <w:pPr>
              <w:rPr>
                <w:szCs w:val="21"/>
              </w:rPr>
            </w:pPr>
            <w:r>
              <w:t>叶德资</w:t>
            </w:r>
          </w:p>
        </w:tc>
        <w:tc>
          <w:tcPr>
            <w:tcW w:w="1957" w:type="dxa"/>
            <w:gridSpan w:val="3"/>
            <w:shd w:val="clear" w:color="auto" w:fill="auto"/>
          </w:tcPr>
          <w:p w:rsidR="00CA3278" w:rsidRDefault="00CA3278" w:rsidP="00B76BD6">
            <w:pPr>
              <w:jc w:val="right"/>
              <w:rPr>
                <w:szCs w:val="21"/>
              </w:rPr>
            </w:pPr>
            <w:r>
              <w:t>1,816,442</w:t>
            </w:r>
          </w:p>
        </w:tc>
        <w:tc>
          <w:tcPr>
            <w:tcW w:w="1587" w:type="dxa"/>
            <w:gridSpan w:val="3"/>
            <w:shd w:val="clear" w:color="auto" w:fill="auto"/>
            <w:vAlign w:val="center"/>
          </w:tcPr>
          <w:p w:rsidR="00CA3278" w:rsidRDefault="00CA3278" w:rsidP="00B76BD6">
            <w:pPr>
              <w:jc w:val="center"/>
              <w:rPr>
                <w:bCs/>
                <w:szCs w:val="21"/>
              </w:rPr>
            </w:pPr>
            <w:r>
              <w:rPr>
                <w:bCs/>
                <w:szCs w:val="21"/>
              </w:rPr>
              <w:t>人民币普通股</w:t>
            </w:r>
          </w:p>
        </w:tc>
        <w:tc>
          <w:tcPr>
            <w:tcW w:w="1701" w:type="dxa"/>
            <w:gridSpan w:val="2"/>
            <w:shd w:val="clear" w:color="auto" w:fill="auto"/>
          </w:tcPr>
          <w:p w:rsidR="00CA3278" w:rsidRDefault="00CA3278" w:rsidP="00B76BD6">
            <w:pPr>
              <w:jc w:val="right"/>
              <w:rPr>
                <w:szCs w:val="21"/>
              </w:rPr>
            </w:pPr>
            <w:r>
              <w:t>1,816,442</w:t>
            </w:r>
          </w:p>
        </w:tc>
      </w:tr>
      <w:tr w:rsidR="00CA3278" w:rsidTr="00B76BD6">
        <w:trPr>
          <w:cantSplit/>
        </w:trPr>
        <w:tc>
          <w:tcPr>
            <w:tcW w:w="3652" w:type="dxa"/>
            <w:gridSpan w:val="2"/>
            <w:shd w:val="clear" w:color="auto" w:fill="auto"/>
          </w:tcPr>
          <w:p w:rsidR="00CA3278" w:rsidRDefault="00CA3278" w:rsidP="00B76BD6">
            <w:pPr>
              <w:rPr>
                <w:szCs w:val="21"/>
              </w:rPr>
            </w:pPr>
            <w:r>
              <w:t>高建勇</w:t>
            </w:r>
          </w:p>
        </w:tc>
        <w:tc>
          <w:tcPr>
            <w:tcW w:w="1957" w:type="dxa"/>
            <w:gridSpan w:val="3"/>
            <w:shd w:val="clear" w:color="auto" w:fill="auto"/>
          </w:tcPr>
          <w:p w:rsidR="00CA3278" w:rsidRDefault="00CA3278" w:rsidP="00B76BD6">
            <w:pPr>
              <w:jc w:val="right"/>
              <w:rPr>
                <w:szCs w:val="21"/>
              </w:rPr>
            </w:pPr>
            <w:r>
              <w:t>1,462,005</w:t>
            </w:r>
          </w:p>
        </w:tc>
        <w:tc>
          <w:tcPr>
            <w:tcW w:w="1587" w:type="dxa"/>
            <w:gridSpan w:val="3"/>
            <w:shd w:val="clear" w:color="auto" w:fill="auto"/>
            <w:vAlign w:val="center"/>
          </w:tcPr>
          <w:p w:rsidR="00CA3278" w:rsidRDefault="00CA3278" w:rsidP="00B76BD6">
            <w:pPr>
              <w:jc w:val="center"/>
              <w:rPr>
                <w:bCs/>
                <w:szCs w:val="21"/>
              </w:rPr>
            </w:pPr>
            <w:r>
              <w:rPr>
                <w:bCs/>
                <w:szCs w:val="21"/>
              </w:rPr>
              <w:t>人民币普通股</w:t>
            </w:r>
          </w:p>
        </w:tc>
        <w:tc>
          <w:tcPr>
            <w:tcW w:w="1701" w:type="dxa"/>
            <w:gridSpan w:val="2"/>
            <w:shd w:val="clear" w:color="auto" w:fill="auto"/>
          </w:tcPr>
          <w:p w:rsidR="00CA3278" w:rsidRDefault="00CA3278" w:rsidP="00B76BD6">
            <w:pPr>
              <w:jc w:val="right"/>
              <w:rPr>
                <w:szCs w:val="21"/>
              </w:rPr>
            </w:pPr>
            <w:r>
              <w:t>1,462,005</w:t>
            </w:r>
          </w:p>
        </w:tc>
      </w:tr>
      <w:tr w:rsidR="00CA3278" w:rsidTr="00B76BD6">
        <w:trPr>
          <w:cantSplit/>
        </w:trPr>
        <w:tc>
          <w:tcPr>
            <w:tcW w:w="3652" w:type="dxa"/>
            <w:gridSpan w:val="2"/>
            <w:shd w:val="clear" w:color="auto" w:fill="auto"/>
          </w:tcPr>
          <w:p w:rsidR="00CA3278" w:rsidRDefault="00CA3278" w:rsidP="00B76BD6">
            <w:pPr>
              <w:rPr>
                <w:szCs w:val="21"/>
              </w:rPr>
            </w:pPr>
            <w:r>
              <w:t>林珍</w:t>
            </w:r>
          </w:p>
        </w:tc>
        <w:tc>
          <w:tcPr>
            <w:tcW w:w="1957" w:type="dxa"/>
            <w:gridSpan w:val="3"/>
            <w:shd w:val="clear" w:color="auto" w:fill="auto"/>
          </w:tcPr>
          <w:p w:rsidR="00CA3278" w:rsidRDefault="00CA3278" w:rsidP="00B76BD6">
            <w:pPr>
              <w:jc w:val="right"/>
              <w:rPr>
                <w:szCs w:val="21"/>
              </w:rPr>
            </w:pPr>
            <w:r>
              <w:t>820,000</w:t>
            </w:r>
          </w:p>
        </w:tc>
        <w:tc>
          <w:tcPr>
            <w:tcW w:w="1587" w:type="dxa"/>
            <w:gridSpan w:val="3"/>
            <w:shd w:val="clear" w:color="auto" w:fill="auto"/>
            <w:vAlign w:val="center"/>
          </w:tcPr>
          <w:p w:rsidR="00CA3278" w:rsidRDefault="00CA3278" w:rsidP="00B76BD6">
            <w:pPr>
              <w:jc w:val="center"/>
              <w:rPr>
                <w:bCs/>
                <w:szCs w:val="21"/>
              </w:rPr>
            </w:pPr>
            <w:r>
              <w:rPr>
                <w:bCs/>
                <w:szCs w:val="21"/>
              </w:rPr>
              <w:t>人民币普通股</w:t>
            </w:r>
          </w:p>
        </w:tc>
        <w:tc>
          <w:tcPr>
            <w:tcW w:w="1701" w:type="dxa"/>
            <w:gridSpan w:val="2"/>
            <w:shd w:val="clear" w:color="auto" w:fill="auto"/>
          </w:tcPr>
          <w:p w:rsidR="00CA3278" w:rsidRDefault="00CA3278" w:rsidP="00B76BD6">
            <w:pPr>
              <w:jc w:val="right"/>
              <w:rPr>
                <w:szCs w:val="21"/>
              </w:rPr>
            </w:pPr>
            <w:r>
              <w:t>820,000</w:t>
            </w:r>
          </w:p>
        </w:tc>
      </w:tr>
      <w:tr w:rsidR="00CA3278" w:rsidTr="00B76BD6">
        <w:trPr>
          <w:cantSplit/>
        </w:trPr>
        <w:tc>
          <w:tcPr>
            <w:tcW w:w="3652" w:type="dxa"/>
            <w:gridSpan w:val="2"/>
            <w:shd w:val="clear" w:color="auto" w:fill="auto"/>
          </w:tcPr>
          <w:p w:rsidR="00CA3278" w:rsidRDefault="00CA3278" w:rsidP="00B76BD6">
            <w:pPr>
              <w:rPr>
                <w:szCs w:val="21"/>
              </w:rPr>
            </w:pPr>
            <w:r>
              <w:t>王毓</w:t>
            </w:r>
          </w:p>
        </w:tc>
        <w:tc>
          <w:tcPr>
            <w:tcW w:w="1957" w:type="dxa"/>
            <w:gridSpan w:val="3"/>
            <w:shd w:val="clear" w:color="auto" w:fill="auto"/>
          </w:tcPr>
          <w:p w:rsidR="00CA3278" w:rsidRDefault="00CA3278" w:rsidP="00B76BD6">
            <w:pPr>
              <w:jc w:val="right"/>
              <w:rPr>
                <w:szCs w:val="21"/>
              </w:rPr>
            </w:pPr>
            <w:r>
              <w:t>806,400</w:t>
            </w:r>
          </w:p>
        </w:tc>
        <w:tc>
          <w:tcPr>
            <w:tcW w:w="1587" w:type="dxa"/>
            <w:gridSpan w:val="3"/>
            <w:shd w:val="clear" w:color="auto" w:fill="auto"/>
            <w:vAlign w:val="center"/>
          </w:tcPr>
          <w:p w:rsidR="00CA3278" w:rsidRDefault="00CA3278" w:rsidP="00B76BD6">
            <w:pPr>
              <w:jc w:val="center"/>
              <w:rPr>
                <w:bCs/>
                <w:szCs w:val="21"/>
              </w:rPr>
            </w:pPr>
            <w:r>
              <w:rPr>
                <w:bCs/>
                <w:szCs w:val="21"/>
              </w:rPr>
              <w:t>人民币普通股</w:t>
            </w:r>
          </w:p>
        </w:tc>
        <w:tc>
          <w:tcPr>
            <w:tcW w:w="1701" w:type="dxa"/>
            <w:gridSpan w:val="2"/>
            <w:shd w:val="clear" w:color="auto" w:fill="auto"/>
          </w:tcPr>
          <w:p w:rsidR="00CA3278" w:rsidRDefault="00CA3278" w:rsidP="00B76BD6">
            <w:pPr>
              <w:jc w:val="right"/>
              <w:rPr>
                <w:szCs w:val="21"/>
              </w:rPr>
            </w:pPr>
            <w:r>
              <w:t>806,400</w:t>
            </w:r>
          </w:p>
        </w:tc>
      </w:tr>
      <w:tr w:rsidR="00CA3278" w:rsidTr="00B76BD6">
        <w:trPr>
          <w:cantSplit/>
        </w:trPr>
        <w:tc>
          <w:tcPr>
            <w:tcW w:w="3652" w:type="dxa"/>
            <w:gridSpan w:val="2"/>
            <w:shd w:val="clear" w:color="auto" w:fill="auto"/>
          </w:tcPr>
          <w:p w:rsidR="00CA3278" w:rsidRDefault="00CA3278" w:rsidP="00B76BD6">
            <w:pPr>
              <w:rPr>
                <w:szCs w:val="21"/>
              </w:rPr>
            </w:pPr>
            <w:r>
              <w:lastRenderedPageBreak/>
              <w:t>梁志军</w:t>
            </w:r>
          </w:p>
        </w:tc>
        <w:tc>
          <w:tcPr>
            <w:tcW w:w="1957" w:type="dxa"/>
            <w:gridSpan w:val="3"/>
            <w:shd w:val="clear" w:color="auto" w:fill="auto"/>
          </w:tcPr>
          <w:p w:rsidR="00CA3278" w:rsidRDefault="00CA3278" w:rsidP="00B76BD6">
            <w:pPr>
              <w:jc w:val="right"/>
              <w:rPr>
                <w:szCs w:val="21"/>
              </w:rPr>
            </w:pPr>
            <w:r>
              <w:t>551,595</w:t>
            </w:r>
          </w:p>
        </w:tc>
        <w:tc>
          <w:tcPr>
            <w:tcW w:w="1587" w:type="dxa"/>
            <w:gridSpan w:val="3"/>
            <w:shd w:val="clear" w:color="auto" w:fill="auto"/>
            <w:vAlign w:val="center"/>
          </w:tcPr>
          <w:p w:rsidR="00CA3278" w:rsidRDefault="00CA3278" w:rsidP="00B76BD6">
            <w:pPr>
              <w:jc w:val="center"/>
              <w:rPr>
                <w:bCs/>
                <w:szCs w:val="21"/>
              </w:rPr>
            </w:pPr>
            <w:r>
              <w:rPr>
                <w:bCs/>
                <w:szCs w:val="21"/>
              </w:rPr>
              <w:t>人民币普通股</w:t>
            </w:r>
          </w:p>
        </w:tc>
        <w:tc>
          <w:tcPr>
            <w:tcW w:w="1701" w:type="dxa"/>
            <w:gridSpan w:val="2"/>
            <w:shd w:val="clear" w:color="auto" w:fill="auto"/>
          </w:tcPr>
          <w:p w:rsidR="00CA3278" w:rsidRDefault="00CA3278" w:rsidP="00B76BD6">
            <w:pPr>
              <w:jc w:val="right"/>
              <w:rPr>
                <w:szCs w:val="21"/>
              </w:rPr>
            </w:pPr>
            <w:r>
              <w:t>551,595</w:t>
            </w:r>
          </w:p>
        </w:tc>
      </w:tr>
      <w:tr w:rsidR="00CA3278" w:rsidTr="00B76BD6">
        <w:trPr>
          <w:cantSplit/>
        </w:trPr>
        <w:tc>
          <w:tcPr>
            <w:tcW w:w="3652" w:type="dxa"/>
            <w:gridSpan w:val="2"/>
            <w:shd w:val="clear" w:color="auto" w:fill="auto"/>
          </w:tcPr>
          <w:p w:rsidR="00CA3278" w:rsidRDefault="00CA3278" w:rsidP="00B76BD6">
            <w:pPr>
              <w:rPr>
                <w:szCs w:val="21"/>
              </w:rPr>
            </w:pPr>
            <w:r>
              <w:t>李四清</w:t>
            </w:r>
          </w:p>
        </w:tc>
        <w:tc>
          <w:tcPr>
            <w:tcW w:w="1957" w:type="dxa"/>
            <w:gridSpan w:val="3"/>
            <w:shd w:val="clear" w:color="auto" w:fill="auto"/>
          </w:tcPr>
          <w:p w:rsidR="00CA3278" w:rsidRDefault="00CA3278" w:rsidP="00B76BD6">
            <w:pPr>
              <w:jc w:val="right"/>
              <w:rPr>
                <w:szCs w:val="21"/>
              </w:rPr>
            </w:pPr>
            <w:r>
              <w:t>537,000</w:t>
            </w:r>
          </w:p>
        </w:tc>
        <w:tc>
          <w:tcPr>
            <w:tcW w:w="1587" w:type="dxa"/>
            <w:gridSpan w:val="3"/>
            <w:shd w:val="clear" w:color="auto" w:fill="auto"/>
            <w:vAlign w:val="center"/>
          </w:tcPr>
          <w:p w:rsidR="00CA3278" w:rsidRDefault="00CA3278" w:rsidP="00B76BD6">
            <w:pPr>
              <w:jc w:val="center"/>
              <w:rPr>
                <w:bCs/>
                <w:szCs w:val="21"/>
              </w:rPr>
            </w:pPr>
            <w:r>
              <w:rPr>
                <w:bCs/>
                <w:szCs w:val="21"/>
              </w:rPr>
              <w:t>人民币普通股</w:t>
            </w:r>
          </w:p>
        </w:tc>
        <w:tc>
          <w:tcPr>
            <w:tcW w:w="1701" w:type="dxa"/>
            <w:gridSpan w:val="2"/>
            <w:shd w:val="clear" w:color="auto" w:fill="auto"/>
          </w:tcPr>
          <w:p w:rsidR="00CA3278" w:rsidRDefault="00CA3278" w:rsidP="00B76BD6">
            <w:pPr>
              <w:jc w:val="right"/>
              <w:rPr>
                <w:szCs w:val="21"/>
              </w:rPr>
            </w:pPr>
            <w:r>
              <w:t>537,000</w:t>
            </w:r>
          </w:p>
        </w:tc>
      </w:tr>
      <w:tr w:rsidR="00CA3278" w:rsidTr="00B76BD6">
        <w:trPr>
          <w:cantSplit/>
          <w:trHeight w:val="623"/>
        </w:trPr>
        <w:tc>
          <w:tcPr>
            <w:tcW w:w="3652" w:type="dxa"/>
            <w:gridSpan w:val="2"/>
            <w:shd w:val="clear" w:color="auto" w:fill="auto"/>
          </w:tcPr>
          <w:p w:rsidR="00CA3278" w:rsidRDefault="00CA3278" w:rsidP="00B76BD6">
            <w:pPr>
              <w:rPr>
                <w:szCs w:val="21"/>
              </w:rPr>
            </w:pPr>
            <w:r>
              <w:rPr>
                <w:szCs w:val="21"/>
              </w:rPr>
              <w:t>上述股东关联关系或一致行动的说明</w:t>
            </w:r>
          </w:p>
        </w:tc>
        <w:tc>
          <w:tcPr>
            <w:tcW w:w="5245" w:type="dxa"/>
            <w:gridSpan w:val="8"/>
            <w:shd w:val="clear" w:color="auto" w:fill="auto"/>
          </w:tcPr>
          <w:p w:rsidR="00CA3278" w:rsidRDefault="00CA3278" w:rsidP="00B76BD6">
            <w:pPr>
              <w:rPr>
                <w:szCs w:val="21"/>
              </w:rPr>
            </w:pPr>
            <w:r>
              <w:rPr>
                <w:rFonts w:hint="eastAsia"/>
                <w:szCs w:val="21"/>
              </w:rPr>
              <w:t>钱江硅谷控股责任有限公司是中国水务投资有限公司的全资子公司，是一致行动人；第一、第三股东与第二、第四股东之间不存在关联关系或属于《上市公司收购管理办法》规定的一致行动人，其他股东之间未知其是否存在关联关系或属于《上市公司收购管理办法》规定的一致行动人。</w:t>
            </w:r>
          </w:p>
        </w:tc>
      </w:tr>
    </w:tbl>
    <w:p w:rsidR="00CA3278" w:rsidRDefault="00CA3278" w:rsidP="00CA3278"/>
    <w:p w:rsidR="00CA3278" w:rsidRDefault="00CA3278" w:rsidP="00CA3278">
      <w:pPr>
        <w:pStyle w:val="2"/>
        <w:numPr>
          <w:ilvl w:val="0"/>
          <w:numId w:val="3"/>
        </w:numPr>
      </w:pPr>
      <w:bookmarkStart w:id="4" w:name="_Toc395718057"/>
      <w:r>
        <w:t>截止报告期末的</w:t>
      </w:r>
      <w:r>
        <w:rPr>
          <w:rFonts w:hint="eastAsia"/>
        </w:rPr>
        <w:t>优先股</w:t>
      </w:r>
      <w:r>
        <w:t>股东总数、前十名</w:t>
      </w:r>
      <w:r>
        <w:rPr>
          <w:rFonts w:hint="eastAsia"/>
        </w:rPr>
        <w:t>优先股</w:t>
      </w:r>
      <w:r>
        <w:t>股东、前十名</w:t>
      </w:r>
      <w:r>
        <w:rPr>
          <w:rFonts w:hint="eastAsia"/>
        </w:rPr>
        <w:t>优先股</w:t>
      </w:r>
      <w:r>
        <w:t>无限</w:t>
      </w:r>
      <w:proofErr w:type="gramStart"/>
      <w:r>
        <w:t>售条件</w:t>
      </w:r>
      <w:proofErr w:type="gramEnd"/>
      <w:r>
        <w:t>股东持股情况表</w:t>
      </w:r>
    </w:p>
    <w:p w:rsidR="00CA3278" w:rsidRDefault="00CA3278" w:rsidP="00CA3278">
      <w:r>
        <w:fldChar w:fldCharType="begin"/>
      </w:r>
      <w:r>
        <w:instrText xml:space="preserve"> MACROBUTTON SnrToggleCheckbox □适用 </w:instrText>
      </w:r>
      <w:r>
        <w:fldChar w:fldCharType="end"/>
      </w:r>
      <w:r>
        <w:fldChar w:fldCharType="begin"/>
      </w:r>
      <w:r>
        <w:instrText xml:space="preserve">MACROBUTTON  SnrToggleCheckbox √不适用 </w:instrText>
      </w:r>
      <w:r>
        <w:fldChar w:fldCharType="end"/>
      </w:r>
    </w:p>
    <w:p w:rsidR="00CA3278" w:rsidRDefault="00CA3278" w:rsidP="00CA3278">
      <w:pPr>
        <w:pStyle w:val="1"/>
        <w:numPr>
          <w:ilvl w:val="0"/>
          <w:numId w:val="1"/>
        </w:numPr>
        <w:tabs>
          <w:tab w:val="left" w:pos="434"/>
          <w:tab w:val="left" w:pos="882"/>
        </w:tabs>
        <w:rPr>
          <w:sz w:val="21"/>
          <w:szCs w:val="21"/>
        </w:rPr>
      </w:pPr>
      <w:bookmarkStart w:id="5" w:name="_Toc398622769"/>
      <w:r>
        <w:rPr>
          <w:sz w:val="21"/>
          <w:szCs w:val="21"/>
        </w:rPr>
        <w:t>重要事项</w:t>
      </w:r>
      <w:bookmarkEnd w:id="4"/>
      <w:bookmarkEnd w:id="5"/>
    </w:p>
    <w:p w:rsidR="00CA3278" w:rsidRDefault="00CA3278" w:rsidP="00CA3278">
      <w:pPr>
        <w:pStyle w:val="2"/>
        <w:numPr>
          <w:ilvl w:val="0"/>
          <w:numId w:val="4"/>
        </w:numPr>
        <w:rPr>
          <w:b/>
        </w:rPr>
      </w:pPr>
      <w:r>
        <w:t>公司主要会计报表项目、财务指标</w:t>
      </w:r>
      <w:r>
        <w:rPr>
          <w:rFonts w:hint="eastAsia"/>
        </w:rPr>
        <w:t>重大</w:t>
      </w:r>
      <w:r>
        <w:t>变动的情况及原因</w:t>
      </w:r>
    </w:p>
    <w:p w:rsidR="00CA3278" w:rsidRDefault="00CA3278" w:rsidP="00CA3278">
      <w:pPr>
        <w:widowControl w:val="0"/>
        <w:jc w:val="both"/>
        <w:rPr>
          <w:color w:val="auto"/>
          <w:szCs w:val="21"/>
        </w:rPr>
      </w:pPr>
      <w:r>
        <w:rPr>
          <w:color w:val="auto"/>
          <w:szCs w:val="21"/>
        </w:rPr>
        <w:fldChar w:fldCharType="begin"/>
      </w:r>
      <w:r>
        <w:rPr>
          <w:rFonts w:hint="eastAsia"/>
          <w:color w:val="auto"/>
          <w:szCs w:val="21"/>
        </w:rPr>
        <w:instrText xml:space="preserve"> MACROBUTTON  SnrToggleCheckbox √适用 </w:instrText>
      </w:r>
      <w:r>
        <w:rPr>
          <w:color w:val="auto"/>
          <w:szCs w:val="21"/>
        </w:rPr>
        <w:fldChar w:fldCharType="end"/>
      </w:r>
      <w:r>
        <w:rPr>
          <w:color w:val="auto"/>
          <w:szCs w:val="21"/>
        </w:rPr>
        <w:fldChar w:fldCharType="begin"/>
      </w:r>
      <w:r>
        <w:rPr>
          <w:rFonts w:hint="eastAsia"/>
          <w:color w:val="auto"/>
          <w:szCs w:val="21"/>
        </w:rPr>
        <w:instrText xml:space="preserve"> MACROBUTTON  SnrToggleCheckbox □不适用 </w:instrText>
      </w:r>
      <w:r>
        <w:rPr>
          <w:color w:val="auto"/>
          <w:szCs w:val="21"/>
        </w:rPr>
        <w:fldChar w:fldCharType="end"/>
      </w:r>
    </w:p>
    <w:p w:rsidR="00CA3278" w:rsidRDefault="00CA3278" w:rsidP="00CA3278">
      <w:pPr>
        <w:autoSpaceDE w:val="0"/>
        <w:autoSpaceDN w:val="0"/>
        <w:adjustRightInd w:val="0"/>
        <w:jc w:val="both"/>
        <w:rPr>
          <w:color w:val="auto"/>
          <w:szCs w:val="21"/>
        </w:rPr>
      </w:pPr>
      <w:r>
        <w:rPr>
          <w:rFonts w:hint="eastAsia"/>
          <w:color w:val="auto"/>
          <w:szCs w:val="21"/>
        </w:rPr>
        <w:t>1、资产负债表科目变动说明:</w:t>
      </w:r>
    </w:p>
    <w:p w:rsidR="00CA3278" w:rsidRDefault="00CA3278" w:rsidP="00CA3278">
      <w:pPr>
        <w:autoSpaceDE w:val="0"/>
        <w:autoSpaceDN w:val="0"/>
        <w:adjustRightInd w:val="0"/>
        <w:jc w:val="both"/>
        <w:rPr>
          <w:color w:val="auto"/>
          <w:szCs w:val="21"/>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756"/>
        <w:gridCol w:w="1756"/>
        <w:gridCol w:w="964"/>
        <w:gridCol w:w="3094"/>
      </w:tblGrid>
      <w:tr w:rsidR="00CA3278" w:rsidRPr="00283642" w:rsidTr="00B76BD6">
        <w:tc>
          <w:tcPr>
            <w:tcW w:w="1219" w:type="dxa"/>
          </w:tcPr>
          <w:p w:rsidR="00CA3278" w:rsidRPr="00283642" w:rsidRDefault="00CA3278" w:rsidP="00B76BD6">
            <w:pPr>
              <w:autoSpaceDE w:val="0"/>
              <w:autoSpaceDN w:val="0"/>
              <w:adjustRightInd w:val="0"/>
              <w:ind w:firstLineChars="200" w:firstLine="420"/>
              <w:jc w:val="both"/>
              <w:rPr>
                <w:color w:val="auto"/>
                <w:szCs w:val="21"/>
              </w:rPr>
            </w:pPr>
            <w:r w:rsidRPr="00283642">
              <w:rPr>
                <w:rFonts w:hint="eastAsia"/>
                <w:color w:val="auto"/>
                <w:szCs w:val="21"/>
              </w:rPr>
              <w:t>科目</w:t>
            </w:r>
          </w:p>
        </w:tc>
        <w:tc>
          <w:tcPr>
            <w:tcW w:w="1756" w:type="dxa"/>
          </w:tcPr>
          <w:p w:rsidR="00CA3278" w:rsidRPr="00283642" w:rsidRDefault="00CA3278" w:rsidP="00B76BD6">
            <w:pPr>
              <w:autoSpaceDE w:val="0"/>
              <w:autoSpaceDN w:val="0"/>
              <w:adjustRightInd w:val="0"/>
              <w:ind w:firstLineChars="300" w:firstLine="630"/>
              <w:jc w:val="both"/>
              <w:rPr>
                <w:color w:val="auto"/>
                <w:szCs w:val="21"/>
              </w:rPr>
            </w:pPr>
            <w:r w:rsidRPr="00283642">
              <w:rPr>
                <w:rFonts w:hint="eastAsia"/>
                <w:color w:val="auto"/>
                <w:szCs w:val="21"/>
              </w:rPr>
              <w:t>期末数</w:t>
            </w:r>
          </w:p>
        </w:tc>
        <w:tc>
          <w:tcPr>
            <w:tcW w:w="1756" w:type="dxa"/>
          </w:tcPr>
          <w:p w:rsidR="00CA3278" w:rsidRPr="00283642" w:rsidRDefault="00CA3278" w:rsidP="00B76BD6">
            <w:pPr>
              <w:autoSpaceDE w:val="0"/>
              <w:autoSpaceDN w:val="0"/>
              <w:adjustRightInd w:val="0"/>
              <w:ind w:firstLineChars="200" w:firstLine="420"/>
              <w:jc w:val="both"/>
              <w:rPr>
                <w:color w:val="auto"/>
                <w:szCs w:val="21"/>
              </w:rPr>
            </w:pPr>
            <w:r w:rsidRPr="00283642">
              <w:rPr>
                <w:rFonts w:hint="eastAsia"/>
                <w:color w:val="auto"/>
                <w:szCs w:val="21"/>
              </w:rPr>
              <w:t>期初数</w:t>
            </w:r>
          </w:p>
        </w:tc>
        <w:tc>
          <w:tcPr>
            <w:tcW w:w="964" w:type="dxa"/>
          </w:tcPr>
          <w:p w:rsidR="00CA3278" w:rsidRPr="00283642" w:rsidRDefault="00CA3278" w:rsidP="00B76BD6">
            <w:pPr>
              <w:autoSpaceDE w:val="0"/>
              <w:autoSpaceDN w:val="0"/>
              <w:adjustRightInd w:val="0"/>
              <w:jc w:val="both"/>
              <w:rPr>
                <w:color w:val="auto"/>
                <w:szCs w:val="21"/>
              </w:rPr>
            </w:pPr>
            <w:r w:rsidRPr="00283642">
              <w:rPr>
                <w:rFonts w:hint="eastAsia"/>
                <w:color w:val="auto"/>
                <w:szCs w:val="21"/>
              </w:rPr>
              <w:t>增减幅度(%)</w:t>
            </w:r>
          </w:p>
        </w:tc>
        <w:tc>
          <w:tcPr>
            <w:tcW w:w="3094" w:type="dxa"/>
          </w:tcPr>
          <w:p w:rsidR="00CA3278" w:rsidRPr="00283642" w:rsidRDefault="00CA3278" w:rsidP="00B76BD6">
            <w:pPr>
              <w:autoSpaceDE w:val="0"/>
              <w:autoSpaceDN w:val="0"/>
              <w:adjustRightInd w:val="0"/>
              <w:ind w:firstLineChars="200" w:firstLine="420"/>
              <w:jc w:val="both"/>
              <w:rPr>
                <w:color w:val="auto"/>
                <w:szCs w:val="21"/>
              </w:rPr>
            </w:pPr>
            <w:r w:rsidRPr="00283642">
              <w:rPr>
                <w:rFonts w:hint="eastAsia"/>
                <w:color w:val="auto"/>
                <w:szCs w:val="21"/>
              </w:rPr>
              <w:t>原因</w:t>
            </w:r>
          </w:p>
        </w:tc>
      </w:tr>
      <w:tr w:rsidR="00CA3278" w:rsidRPr="00283642" w:rsidTr="00B76BD6">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 货币资金</w:t>
            </w:r>
          </w:p>
        </w:tc>
        <w:tc>
          <w:tcPr>
            <w:tcW w:w="1756" w:type="dxa"/>
            <w:tcBorders>
              <w:top w:val="single" w:sz="4" w:space="0" w:color="auto"/>
              <w:left w:val="nil"/>
              <w:bottom w:val="single" w:sz="4" w:space="0" w:color="auto"/>
              <w:right w:val="single" w:sz="4" w:space="0" w:color="auto"/>
            </w:tcBorders>
            <w:shd w:val="clear" w:color="auto" w:fill="auto"/>
            <w:vAlign w:val="center"/>
          </w:tcPr>
          <w:p w:rsidR="00CA3278" w:rsidRPr="00283642" w:rsidRDefault="00CA3278" w:rsidP="00B76BD6">
            <w:pPr>
              <w:jc w:val="right"/>
              <w:rPr>
                <w:color w:val="auto"/>
                <w:szCs w:val="21"/>
              </w:rPr>
            </w:pPr>
            <w:r w:rsidRPr="00283642">
              <w:rPr>
                <w:rFonts w:hint="eastAsia"/>
                <w:szCs w:val="21"/>
              </w:rPr>
              <w:t xml:space="preserve">754,916,072.76 </w:t>
            </w: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rsidR="00CA3278" w:rsidRPr="00283642" w:rsidRDefault="00CA3278" w:rsidP="00B76BD6">
            <w:pPr>
              <w:jc w:val="right"/>
              <w:rPr>
                <w:color w:val="auto"/>
                <w:szCs w:val="21"/>
              </w:rPr>
            </w:pPr>
            <w:r w:rsidRPr="00283642">
              <w:rPr>
                <w:rFonts w:hint="eastAsia"/>
                <w:szCs w:val="21"/>
              </w:rPr>
              <w:t xml:space="preserve">515,913,947.67 </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CA3278" w:rsidRPr="00283642" w:rsidRDefault="00CA3278" w:rsidP="00B76BD6">
            <w:pPr>
              <w:jc w:val="right"/>
              <w:rPr>
                <w:color w:val="auto"/>
                <w:szCs w:val="21"/>
              </w:rPr>
            </w:pPr>
            <w:r w:rsidRPr="00283642">
              <w:rPr>
                <w:rFonts w:hint="eastAsia"/>
                <w:szCs w:val="21"/>
              </w:rPr>
              <w:t>46.33</w:t>
            </w:r>
          </w:p>
        </w:tc>
        <w:tc>
          <w:tcPr>
            <w:tcW w:w="3094" w:type="dxa"/>
            <w:tcBorders>
              <w:top w:val="single" w:sz="4" w:space="0" w:color="auto"/>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主要系本期新增复工复产专项贷款尚未完全使用所致；</w:t>
            </w:r>
          </w:p>
        </w:tc>
      </w:tr>
      <w:tr w:rsidR="00CA3278" w:rsidRPr="00283642" w:rsidTr="00B76BD6">
        <w:tc>
          <w:tcPr>
            <w:tcW w:w="1219"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Pr>
                <w:rFonts w:hint="eastAsia"/>
                <w:szCs w:val="21"/>
              </w:rPr>
              <w:t xml:space="preserve"> </w:t>
            </w:r>
            <w:r w:rsidRPr="00283642">
              <w:rPr>
                <w:rFonts w:hint="eastAsia"/>
                <w:szCs w:val="21"/>
              </w:rPr>
              <w:t>应收账款</w:t>
            </w:r>
          </w:p>
        </w:tc>
        <w:tc>
          <w:tcPr>
            <w:tcW w:w="1756"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jc w:val="right"/>
              <w:rPr>
                <w:color w:val="auto"/>
                <w:szCs w:val="21"/>
              </w:rPr>
            </w:pPr>
            <w:r w:rsidRPr="00283642">
              <w:rPr>
                <w:rFonts w:hint="eastAsia"/>
                <w:szCs w:val="21"/>
              </w:rPr>
              <w:t xml:space="preserve">113,193,675.53 </w:t>
            </w:r>
          </w:p>
        </w:tc>
        <w:tc>
          <w:tcPr>
            <w:tcW w:w="1756"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9305E1" w:rsidP="00B76BD6">
            <w:pPr>
              <w:jc w:val="right"/>
              <w:rPr>
                <w:szCs w:val="21"/>
              </w:rPr>
            </w:pPr>
            <w:r>
              <w:rPr>
                <w:rFonts w:hint="eastAsia"/>
                <w:szCs w:val="21"/>
              </w:rPr>
              <w:t xml:space="preserve"> </w:t>
            </w:r>
            <w:r w:rsidR="00CA3278" w:rsidRPr="00283642">
              <w:rPr>
                <w:rFonts w:hint="eastAsia"/>
                <w:szCs w:val="21"/>
              </w:rPr>
              <w:t xml:space="preserve">75,376,832.64 </w:t>
            </w:r>
          </w:p>
        </w:tc>
        <w:tc>
          <w:tcPr>
            <w:tcW w:w="964"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jc w:val="right"/>
              <w:rPr>
                <w:color w:val="auto"/>
                <w:szCs w:val="21"/>
              </w:rPr>
            </w:pPr>
            <w:r w:rsidRPr="00283642">
              <w:rPr>
                <w:rFonts w:hint="eastAsia"/>
                <w:szCs w:val="21"/>
              </w:rPr>
              <w:t>50.17</w:t>
            </w:r>
          </w:p>
        </w:tc>
        <w:tc>
          <w:tcPr>
            <w:tcW w:w="3094"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主要系本期子公司应收水费、污水费同比增加所致；</w:t>
            </w:r>
          </w:p>
        </w:tc>
      </w:tr>
      <w:tr w:rsidR="00CA3278" w:rsidRPr="00283642" w:rsidTr="00B76BD6">
        <w:tc>
          <w:tcPr>
            <w:tcW w:w="1219"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Pr>
                <w:rFonts w:hint="eastAsia"/>
                <w:szCs w:val="21"/>
              </w:rPr>
              <w:t xml:space="preserve"> </w:t>
            </w:r>
            <w:r w:rsidRPr="00283642">
              <w:rPr>
                <w:rFonts w:hint="eastAsia"/>
                <w:szCs w:val="21"/>
              </w:rPr>
              <w:t>预付款项</w:t>
            </w:r>
          </w:p>
        </w:tc>
        <w:tc>
          <w:tcPr>
            <w:tcW w:w="1756" w:type="dxa"/>
            <w:tcBorders>
              <w:top w:val="nil"/>
              <w:left w:val="nil"/>
              <w:bottom w:val="single" w:sz="4" w:space="0" w:color="auto"/>
              <w:right w:val="single" w:sz="4" w:space="0" w:color="auto"/>
            </w:tcBorders>
            <w:shd w:val="clear" w:color="auto" w:fill="auto"/>
            <w:vAlign w:val="center"/>
          </w:tcPr>
          <w:p w:rsidR="00CA3278" w:rsidRPr="00283642" w:rsidRDefault="009305E1" w:rsidP="00B76BD6">
            <w:pPr>
              <w:jc w:val="right"/>
              <w:rPr>
                <w:color w:val="auto"/>
                <w:szCs w:val="21"/>
              </w:rPr>
            </w:pPr>
            <w:r>
              <w:rPr>
                <w:rFonts w:hint="eastAsia"/>
                <w:szCs w:val="21"/>
              </w:rPr>
              <w:t xml:space="preserve"> </w:t>
            </w:r>
            <w:r w:rsidR="00CA3278" w:rsidRPr="00283642">
              <w:rPr>
                <w:rFonts w:hint="eastAsia"/>
                <w:szCs w:val="21"/>
              </w:rPr>
              <w:t xml:space="preserve">84,700,164.35 </w:t>
            </w:r>
          </w:p>
        </w:tc>
        <w:tc>
          <w:tcPr>
            <w:tcW w:w="1756"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9305E1" w:rsidP="00B76BD6">
            <w:pPr>
              <w:jc w:val="right"/>
              <w:rPr>
                <w:szCs w:val="21"/>
              </w:rPr>
            </w:pPr>
            <w:r>
              <w:rPr>
                <w:rFonts w:hint="eastAsia"/>
                <w:szCs w:val="21"/>
              </w:rPr>
              <w:t xml:space="preserve">  </w:t>
            </w:r>
            <w:r w:rsidR="00CA3278" w:rsidRPr="00283642">
              <w:rPr>
                <w:rFonts w:hint="eastAsia"/>
                <w:szCs w:val="21"/>
              </w:rPr>
              <w:t xml:space="preserve">6,821,245.77 </w:t>
            </w:r>
          </w:p>
        </w:tc>
        <w:tc>
          <w:tcPr>
            <w:tcW w:w="964"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jc w:val="right"/>
              <w:rPr>
                <w:szCs w:val="21"/>
              </w:rPr>
            </w:pPr>
            <w:r w:rsidRPr="00283642">
              <w:rPr>
                <w:rFonts w:hint="eastAsia"/>
                <w:szCs w:val="21"/>
              </w:rPr>
              <w:t>1141.71</w:t>
            </w:r>
          </w:p>
        </w:tc>
        <w:tc>
          <w:tcPr>
            <w:tcW w:w="3094"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主要系本期公司预付材料款增加所致；</w:t>
            </w:r>
          </w:p>
        </w:tc>
      </w:tr>
      <w:tr w:rsidR="00CA3278" w:rsidRPr="00283642" w:rsidTr="00B76BD6">
        <w:tc>
          <w:tcPr>
            <w:tcW w:w="1219"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其他应收款</w:t>
            </w:r>
          </w:p>
        </w:tc>
        <w:tc>
          <w:tcPr>
            <w:tcW w:w="1756" w:type="dxa"/>
            <w:tcBorders>
              <w:top w:val="nil"/>
              <w:left w:val="nil"/>
              <w:bottom w:val="single" w:sz="4" w:space="0" w:color="auto"/>
              <w:right w:val="single" w:sz="4" w:space="0" w:color="auto"/>
            </w:tcBorders>
            <w:shd w:val="clear" w:color="auto" w:fill="auto"/>
            <w:vAlign w:val="center"/>
          </w:tcPr>
          <w:p w:rsidR="00CA3278" w:rsidRPr="00283642" w:rsidRDefault="009305E1" w:rsidP="00B76BD6">
            <w:pPr>
              <w:jc w:val="right"/>
              <w:rPr>
                <w:color w:val="auto"/>
                <w:szCs w:val="21"/>
              </w:rPr>
            </w:pPr>
            <w:r>
              <w:rPr>
                <w:rFonts w:hint="eastAsia"/>
                <w:szCs w:val="21"/>
              </w:rPr>
              <w:t xml:space="preserve"> </w:t>
            </w:r>
            <w:r w:rsidR="00CA3278" w:rsidRPr="00283642">
              <w:rPr>
                <w:rFonts w:hint="eastAsia"/>
                <w:szCs w:val="21"/>
              </w:rPr>
              <w:t xml:space="preserve">12,501,424.39 </w:t>
            </w:r>
          </w:p>
        </w:tc>
        <w:tc>
          <w:tcPr>
            <w:tcW w:w="1756"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9305E1" w:rsidP="00B76BD6">
            <w:pPr>
              <w:jc w:val="right"/>
              <w:rPr>
                <w:szCs w:val="21"/>
              </w:rPr>
            </w:pPr>
            <w:r>
              <w:rPr>
                <w:rFonts w:hint="eastAsia"/>
                <w:szCs w:val="21"/>
              </w:rPr>
              <w:t xml:space="preserve">  </w:t>
            </w:r>
            <w:r w:rsidR="00CA3278" w:rsidRPr="00283642">
              <w:rPr>
                <w:rFonts w:hint="eastAsia"/>
                <w:szCs w:val="21"/>
              </w:rPr>
              <w:t xml:space="preserve">9,614,288.00 </w:t>
            </w:r>
          </w:p>
        </w:tc>
        <w:tc>
          <w:tcPr>
            <w:tcW w:w="964"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jc w:val="right"/>
              <w:rPr>
                <w:color w:val="auto"/>
                <w:szCs w:val="21"/>
              </w:rPr>
            </w:pPr>
            <w:r w:rsidRPr="00283642">
              <w:rPr>
                <w:rFonts w:hint="eastAsia"/>
                <w:szCs w:val="21"/>
              </w:rPr>
              <w:t>30.03</w:t>
            </w:r>
          </w:p>
        </w:tc>
        <w:tc>
          <w:tcPr>
            <w:tcW w:w="3094"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主要系本期子公司应收工程履约保证金同比增加所致；</w:t>
            </w:r>
          </w:p>
        </w:tc>
      </w:tr>
      <w:tr w:rsidR="00CA3278" w:rsidRPr="00283642" w:rsidTr="00B76BD6">
        <w:tc>
          <w:tcPr>
            <w:tcW w:w="1219"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其他流动资产</w:t>
            </w:r>
          </w:p>
        </w:tc>
        <w:tc>
          <w:tcPr>
            <w:tcW w:w="1756" w:type="dxa"/>
            <w:tcBorders>
              <w:top w:val="nil"/>
              <w:left w:val="nil"/>
              <w:bottom w:val="single" w:sz="4" w:space="0" w:color="auto"/>
              <w:right w:val="single" w:sz="4" w:space="0" w:color="auto"/>
            </w:tcBorders>
            <w:shd w:val="clear" w:color="auto" w:fill="auto"/>
            <w:vAlign w:val="center"/>
          </w:tcPr>
          <w:p w:rsidR="00CA3278" w:rsidRPr="00283642" w:rsidRDefault="009305E1" w:rsidP="00B76BD6">
            <w:pPr>
              <w:jc w:val="right"/>
              <w:rPr>
                <w:color w:val="auto"/>
                <w:szCs w:val="21"/>
              </w:rPr>
            </w:pPr>
            <w:r>
              <w:rPr>
                <w:rFonts w:hint="eastAsia"/>
                <w:szCs w:val="21"/>
              </w:rPr>
              <w:t xml:space="preserve"> </w:t>
            </w:r>
            <w:r w:rsidR="00CA3278" w:rsidRPr="00283642">
              <w:rPr>
                <w:rFonts w:hint="eastAsia"/>
                <w:szCs w:val="21"/>
              </w:rPr>
              <w:t xml:space="preserve">35,540,211.38 </w:t>
            </w:r>
          </w:p>
        </w:tc>
        <w:tc>
          <w:tcPr>
            <w:tcW w:w="1756"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9305E1" w:rsidP="00B76BD6">
            <w:pPr>
              <w:jc w:val="right"/>
              <w:rPr>
                <w:szCs w:val="21"/>
              </w:rPr>
            </w:pPr>
            <w:r>
              <w:rPr>
                <w:rFonts w:hint="eastAsia"/>
                <w:szCs w:val="21"/>
              </w:rPr>
              <w:t xml:space="preserve"> </w:t>
            </w:r>
            <w:r w:rsidR="00CA3278" w:rsidRPr="00283642">
              <w:rPr>
                <w:rFonts w:hint="eastAsia"/>
                <w:szCs w:val="21"/>
              </w:rPr>
              <w:t xml:space="preserve">56,936,457.40 </w:t>
            </w:r>
          </w:p>
        </w:tc>
        <w:tc>
          <w:tcPr>
            <w:tcW w:w="964"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jc w:val="right"/>
              <w:rPr>
                <w:color w:val="auto"/>
                <w:szCs w:val="21"/>
              </w:rPr>
            </w:pPr>
            <w:r w:rsidRPr="00283642">
              <w:rPr>
                <w:rFonts w:hint="eastAsia"/>
                <w:szCs w:val="21"/>
              </w:rPr>
              <w:t>-37.58</w:t>
            </w:r>
          </w:p>
        </w:tc>
        <w:tc>
          <w:tcPr>
            <w:tcW w:w="3094"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系本期执行新收入准则进行重分类所致； </w:t>
            </w:r>
          </w:p>
        </w:tc>
      </w:tr>
      <w:tr w:rsidR="00CA3278" w:rsidRPr="00283642" w:rsidTr="00B76BD6">
        <w:tc>
          <w:tcPr>
            <w:tcW w:w="1219"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Pr>
                <w:rFonts w:hint="eastAsia"/>
                <w:szCs w:val="21"/>
              </w:rPr>
              <w:t xml:space="preserve"> </w:t>
            </w:r>
            <w:r w:rsidRPr="00283642">
              <w:rPr>
                <w:rFonts w:hint="eastAsia"/>
                <w:szCs w:val="21"/>
              </w:rPr>
              <w:t>在建工程</w:t>
            </w:r>
          </w:p>
        </w:tc>
        <w:tc>
          <w:tcPr>
            <w:tcW w:w="1756"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374,945,581.00 </w:t>
            </w:r>
          </w:p>
        </w:tc>
        <w:tc>
          <w:tcPr>
            <w:tcW w:w="1756"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156,030,438.22 </w:t>
            </w:r>
          </w:p>
        </w:tc>
        <w:tc>
          <w:tcPr>
            <w:tcW w:w="964"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jc w:val="right"/>
              <w:rPr>
                <w:szCs w:val="21"/>
              </w:rPr>
            </w:pPr>
            <w:r w:rsidRPr="00283642">
              <w:rPr>
                <w:rFonts w:hint="eastAsia"/>
                <w:szCs w:val="21"/>
              </w:rPr>
              <w:t>140.30</w:t>
            </w:r>
          </w:p>
        </w:tc>
        <w:tc>
          <w:tcPr>
            <w:tcW w:w="3094"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主要系本期水务子公司工程建设投入增加所致；</w:t>
            </w:r>
          </w:p>
        </w:tc>
      </w:tr>
      <w:tr w:rsidR="00CA3278" w:rsidRPr="00283642" w:rsidTr="00B76BD6">
        <w:tc>
          <w:tcPr>
            <w:tcW w:w="1219"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 短期借款</w:t>
            </w:r>
          </w:p>
        </w:tc>
        <w:tc>
          <w:tcPr>
            <w:tcW w:w="1756"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588,517,534.71 </w:t>
            </w:r>
          </w:p>
        </w:tc>
        <w:tc>
          <w:tcPr>
            <w:tcW w:w="1756"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310,299,414.59 </w:t>
            </w:r>
          </w:p>
        </w:tc>
        <w:tc>
          <w:tcPr>
            <w:tcW w:w="964"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jc w:val="right"/>
              <w:rPr>
                <w:szCs w:val="21"/>
              </w:rPr>
            </w:pPr>
            <w:r w:rsidRPr="00283642">
              <w:rPr>
                <w:rFonts w:hint="eastAsia"/>
                <w:szCs w:val="21"/>
              </w:rPr>
              <w:t>89.66</w:t>
            </w:r>
          </w:p>
        </w:tc>
        <w:tc>
          <w:tcPr>
            <w:tcW w:w="3094"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主要系本期公司新增银行贷款所致；</w:t>
            </w:r>
          </w:p>
        </w:tc>
      </w:tr>
      <w:tr w:rsidR="00CA3278" w:rsidRPr="00283642" w:rsidTr="00B76BD6">
        <w:tc>
          <w:tcPr>
            <w:tcW w:w="1219"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Pr>
                <w:rFonts w:hint="eastAsia"/>
                <w:szCs w:val="21"/>
              </w:rPr>
              <w:t xml:space="preserve"> </w:t>
            </w:r>
            <w:r w:rsidRPr="00283642">
              <w:rPr>
                <w:rFonts w:hint="eastAsia"/>
                <w:szCs w:val="21"/>
              </w:rPr>
              <w:t>预收款项</w:t>
            </w:r>
          </w:p>
        </w:tc>
        <w:tc>
          <w:tcPr>
            <w:tcW w:w="1756" w:type="dxa"/>
            <w:tcBorders>
              <w:top w:val="nil"/>
              <w:left w:val="nil"/>
              <w:bottom w:val="single" w:sz="4" w:space="0" w:color="auto"/>
              <w:right w:val="single" w:sz="4" w:space="0" w:color="auto"/>
            </w:tcBorders>
            <w:shd w:val="clear" w:color="auto" w:fill="auto"/>
            <w:vAlign w:val="center"/>
          </w:tcPr>
          <w:p w:rsidR="00CA3278" w:rsidRPr="00283642" w:rsidRDefault="009305E1" w:rsidP="00B76BD6">
            <w:pPr>
              <w:rPr>
                <w:szCs w:val="21"/>
              </w:rPr>
            </w:pPr>
            <w:r>
              <w:rPr>
                <w:rFonts w:hint="eastAsia"/>
                <w:szCs w:val="21"/>
              </w:rPr>
              <w:t xml:space="preserve">    </w:t>
            </w:r>
            <w:r w:rsidR="00CA3278" w:rsidRPr="00283642">
              <w:rPr>
                <w:rFonts w:hint="eastAsia"/>
                <w:szCs w:val="21"/>
              </w:rPr>
              <w:t xml:space="preserve">449,158.03 </w:t>
            </w:r>
          </w:p>
        </w:tc>
        <w:tc>
          <w:tcPr>
            <w:tcW w:w="1756"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525,435,302.32 </w:t>
            </w:r>
          </w:p>
        </w:tc>
        <w:tc>
          <w:tcPr>
            <w:tcW w:w="964"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jc w:val="right"/>
              <w:rPr>
                <w:color w:val="auto"/>
                <w:szCs w:val="21"/>
              </w:rPr>
            </w:pPr>
            <w:r w:rsidRPr="00283642">
              <w:rPr>
                <w:rFonts w:hint="eastAsia"/>
                <w:szCs w:val="21"/>
              </w:rPr>
              <w:t>-99.91</w:t>
            </w:r>
          </w:p>
        </w:tc>
        <w:tc>
          <w:tcPr>
            <w:tcW w:w="3094"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系本期执行新收入准则进行重分类所致； </w:t>
            </w:r>
          </w:p>
        </w:tc>
      </w:tr>
      <w:tr w:rsidR="00CA3278" w:rsidRPr="00283642" w:rsidTr="00B76BD6">
        <w:tc>
          <w:tcPr>
            <w:tcW w:w="1219"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Pr>
                <w:rFonts w:hint="eastAsia"/>
                <w:szCs w:val="21"/>
              </w:rPr>
              <w:t xml:space="preserve"> </w:t>
            </w:r>
            <w:r w:rsidRPr="00283642">
              <w:rPr>
                <w:rFonts w:hint="eastAsia"/>
                <w:szCs w:val="21"/>
              </w:rPr>
              <w:t>合同负债</w:t>
            </w:r>
          </w:p>
        </w:tc>
        <w:tc>
          <w:tcPr>
            <w:tcW w:w="1756"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630,112,086.59 </w:t>
            </w:r>
          </w:p>
        </w:tc>
        <w:tc>
          <w:tcPr>
            <w:tcW w:w="1756"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　</w:t>
            </w:r>
          </w:p>
        </w:tc>
        <w:tc>
          <w:tcPr>
            <w:tcW w:w="964"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jc w:val="right"/>
              <w:rPr>
                <w:szCs w:val="21"/>
              </w:rPr>
            </w:pPr>
            <w:r w:rsidRPr="00283642">
              <w:rPr>
                <w:rFonts w:hint="eastAsia"/>
                <w:szCs w:val="21"/>
              </w:rPr>
              <w:t xml:space="preserve">　</w:t>
            </w:r>
          </w:p>
        </w:tc>
        <w:tc>
          <w:tcPr>
            <w:tcW w:w="3094"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系本期执行新收入准则进行重分类所致； </w:t>
            </w:r>
          </w:p>
        </w:tc>
      </w:tr>
      <w:tr w:rsidR="00CA3278" w:rsidRPr="00283642" w:rsidTr="00B76BD6">
        <w:tc>
          <w:tcPr>
            <w:tcW w:w="1219"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Pr>
                <w:rFonts w:hint="eastAsia"/>
                <w:szCs w:val="21"/>
              </w:rPr>
              <w:lastRenderedPageBreak/>
              <w:t xml:space="preserve"> </w:t>
            </w:r>
            <w:r w:rsidRPr="00283642">
              <w:rPr>
                <w:rFonts w:hint="eastAsia"/>
                <w:szCs w:val="21"/>
              </w:rPr>
              <w:t>应交税费</w:t>
            </w:r>
          </w:p>
        </w:tc>
        <w:tc>
          <w:tcPr>
            <w:tcW w:w="1756"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57,779,702.73 </w:t>
            </w:r>
          </w:p>
        </w:tc>
        <w:tc>
          <w:tcPr>
            <w:tcW w:w="1756"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9305E1" w:rsidP="00B76BD6">
            <w:pPr>
              <w:rPr>
                <w:szCs w:val="21"/>
              </w:rPr>
            </w:pPr>
            <w:r>
              <w:rPr>
                <w:rFonts w:hint="eastAsia"/>
                <w:szCs w:val="21"/>
              </w:rPr>
              <w:t xml:space="preserve"> </w:t>
            </w:r>
            <w:r w:rsidR="00CA3278" w:rsidRPr="00283642">
              <w:rPr>
                <w:rFonts w:hint="eastAsia"/>
                <w:szCs w:val="21"/>
              </w:rPr>
              <w:t xml:space="preserve">41,872,067.27 </w:t>
            </w:r>
          </w:p>
        </w:tc>
        <w:tc>
          <w:tcPr>
            <w:tcW w:w="964"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jc w:val="right"/>
              <w:rPr>
                <w:szCs w:val="21"/>
              </w:rPr>
            </w:pPr>
            <w:r w:rsidRPr="00283642">
              <w:rPr>
                <w:rFonts w:hint="eastAsia"/>
                <w:szCs w:val="21"/>
              </w:rPr>
              <w:t>37.99</w:t>
            </w:r>
          </w:p>
        </w:tc>
        <w:tc>
          <w:tcPr>
            <w:tcW w:w="3094"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主要系本期部分子公司利润增长，相应计提当期所得税费用增加所致； </w:t>
            </w:r>
          </w:p>
        </w:tc>
      </w:tr>
      <w:tr w:rsidR="00CA3278" w:rsidRPr="00283642" w:rsidTr="00B76BD6">
        <w:tc>
          <w:tcPr>
            <w:tcW w:w="1219"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其他流动负债</w:t>
            </w:r>
          </w:p>
        </w:tc>
        <w:tc>
          <w:tcPr>
            <w:tcW w:w="1756" w:type="dxa"/>
            <w:tcBorders>
              <w:top w:val="nil"/>
              <w:left w:val="nil"/>
              <w:bottom w:val="single" w:sz="4" w:space="0" w:color="auto"/>
              <w:right w:val="single" w:sz="4" w:space="0" w:color="auto"/>
            </w:tcBorders>
            <w:shd w:val="clear" w:color="auto" w:fill="auto"/>
            <w:vAlign w:val="center"/>
          </w:tcPr>
          <w:p w:rsidR="00CA3278" w:rsidRPr="00283642" w:rsidRDefault="009305E1" w:rsidP="00B76BD6">
            <w:pPr>
              <w:rPr>
                <w:szCs w:val="21"/>
              </w:rPr>
            </w:pPr>
            <w:r>
              <w:rPr>
                <w:rFonts w:hint="eastAsia"/>
                <w:szCs w:val="21"/>
              </w:rPr>
              <w:t xml:space="preserve">  </w:t>
            </w:r>
            <w:r w:rsidR="00CA3278" w:rsidRPr="00283642">
              <w:rPr>
                <w:rFonts w:hint="eastAsia"/>
                <w:szCs w:val="21"/>
              </w:rPr>
              <w:t xml:space="preserve">5,799,080.61 </w:t>
            </w:r>
          </w:p>
        </w:tc>
        <w:tc>
          <w:tcPr>
            <w:tcW w:w="1756"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208,194,694.45 </w:t>
            </w:r>
          </w:p>
        </w:tc>
        <w:tc>
          <w:tcPr>
            <w:tcW w:w="964"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jc w:val="right"/>
              <w:rPr>
                <w:color w:val="auto"/>
                <w:szCs w:val="21"/>
              </w:rPr>
            </w:pPr>
            <w:r w:rsidRPr="00283642">
              <w:rPr>
                <w:rFonts w:hint="eastAsia"/>
                <w:szCs w:val="21"/>
              </w:rPr>
              <w:t>-97.21</w:t>
            </w:r>
          </w:p>
        </w:tc>
        <w:tc>
          <w:tcPr>
            <w:tcW w:w="3094"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主要系本期公司归还超短期融资</w:t>
            </w:r>
            <w:proofErr w:type="gramStart"/>
            <w:r w:rsidRPr="00283642">
              <w:rPr>
                <w:rFonts w:hint="eastAsia"/>
                <w:szCs w:val="21"/>
              </w:rPr>
              <w:t>券</w:t>
            </w:r>
            <w:proofErr w:type="gramEnd"/>
            <w:r w:rsidRPr="00283642">
              <w:rPr>
                <w:rFonts w:hint="eastAsia"/>
                <w:szCs w:val="21"/>
              </w:rPr>
              <w:t>、定向债务融资工具所致；</w:t>
            </w:r>
          </w:p>
        </w:tc>
      </w:tr>
      <w:tr w:rsidR="00CA3278" w:rsidRPr="00283642" w:rsidTr="00B76BD6">
        <w:tc>
          <w:tcPr>
            <w:tcW w:w="1219"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长期借款</w:t>
            </w:r>
          </w:p>
        </w:tc>
        <w:tc>
          <w:tcPr>
            <w:tcW w:w="1756"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796,346,102.85 </w:t>
            </w:r>
          </w:p>
        </w:tc>
        <w:tc>
          <w:tcPr>
            <w:tcW w:w="1756"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581,045,284.80 </w:t>
            </w:r>
          </w:p>
        </w:tc>
        <w:tc>
          <w:tcPr>
            <w:tcW w:w="964"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jc w:val="right"/>
              <w:rPr>
                <w:color w:val="auto"/>
                <w:szCs w:val="21"/>
              </w:rPr>
            </w:pPr>
            <w:r w:rsidRPr="00283642">
              <w:rPr>
                <w:rFonts w:hint="eastAsia"/>
                <w:szCs w:val="21"/>
              </w:rPr>
              <w:t>37.05</w:t>
            </w:r>
          </w:p>
        </w:tc>
        <w:tc>
          <w:tcPr>
            <w:tcW w:w="3094"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主要系本期公司新增项目贷款所致；</w:t>
            </w:r>
          </w:p>
        </w:tc>
      </w:tr>
      <w:tr w:rsidR="00CA3278" w:rsidRPr="00283642" w:rsidTr="00B76BD6">
        <w:tc>
          <w:tcPr>
            <w:tcW w:w="1219"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递延所得税负债</w:t>
            </w:r>
          </w:p>
        </w:tc>
        <w:tc>
          <w:tcPr>
            <w:tcW w:w="1756" w:type="dxa"/>
            <w:tcBorders>
              <w:top w:val="nil"/>
              <w:left w:val="nil"/>
              <w:bottom w:val="single" w:sz="4" w:space="0" w:color="auto"/>
              <w:right w:val="single" w:sz="4" w:space="0" w:color="auto"/>
            </w:tcBorders>
            <w:shd w:val="clear" w:color="auto" w:fill="auto"/>
            <w:vAlign w:val="center"/>
          </w:tcPr>
          <w:p w:rsidR="00CA3278" w:rsidRPr="00283642" w:rsidRDefault="009305E1" w:rsidP="00B76BD6">
            <w:pPr>
              <w:rPr>
                <w:szCs w:val="21"/>
              </w:rPr>
            </w:pPr>
            <w:r>
              <w:rPr>
                <w:rFonts w:hint="eastAsia"/>
                <w:szCs w:val="21"/>
              </w:rPr>
              <w:t xml:space="preserve">  </w:t>
            </w:r>
            <w:r w:rsidR="00CA3278" w:rsidRPr="00283642">
              <w:rPr>
                <w:rFonts w:hint="eastAsia"/>
                <w:szCs w:val="21"/>
              </w:rPr>
              <w:t xml:space="preserve">7,775,147.42 </w:t>
            </w:r>
          </w:p>
        </w:tc>
        <w:tc>
          <w:tcPr>
            <w:tcW w:w="1756"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9305E1" w:rsidP="00B76BD6">
            <w:pPr>
              <w:rPr>
                <w:szCs w:val="21"/>
              </w:rPr>
            </w:pPr>
            <w:r>
              <w:rPr>
                <w:rFonts w:hint="eastAsia"/>
                <w:szCs w:val="21"/>
              </w:rPr>
              <w:t xml:space="preserve">    </w:t>
            </w:r>
            <w:bookmarkStart w:id="6" w:name="_GoBack"/>
            <w:bookmarkEnd w:id="6"/>
            <w:r w:rsidR="00CA3278" w:rsidRPr="00283642">
              <w:rPr>
                <w:rFonts w:hint="eastAsia"/>
                <w:szCs w:val="21"/>
              </w:rPr>
              <w:t xml:space="preserve">694,779.28 </w:t>
            </w:r>
          </w:p>
        </w:tc>
        <w:tc>
          <w:tcPr>
            <w:tcW w:w="964"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jc w:val="right"/>
              <w:rPr>
                <w:color w:val="auto"/>
                <w:szCs w:val="21"/>
              </w:rPr>
            </w:pPr>
            <w:r w:rsidRPr="00283642">
              <w:rPr>
                <w:rFonts w:hint="eastAsia"/>
                <w:szCs w:val="21"/>
              </w:rPr>
              <w:t>1019.08</w:t>
            </w:r>
          </w:p>
        </w:tc>
        <w:tc>
          <w:tcPr>
            <w:tcW w:w="3094"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主要系本期部分子公司对符合条件的固定资产折旧一次性税前扣除，相应确认递延所得税负债所致；</w:t>
            </w:r>
          </w:p>
        </w:tc>
      </w:tr>
    </w:tbl>
    <w:p w:rsidR="00CA3278" w:rsidRPr="00283642" w:rsidRDefault="00CA3278" w:rsidP="00CA3278">
      <w:pPr>
        <w:autoSpaceDE w:val="0"/>
        <w:autoSpaceDN w:val="0"/>
        <w:adjustRightInd w:val="0"/>
        <w:jc w:val="both"/>
        <w:rPr>
          <w:color w:val="auto"/>
          <w:szCs w:val="21"/>
        </w:rPr>
      </w:pPr>
    </w:p>
    <w:p w:rsidR="00CA3278" w:rsidRPr="00283642" w:rsidRDefault="00CA3278" w:rsidP="00CA3278">
      <w:pPr>
        <w:autoSpaceDE w:val="0"/>
        <w:autoSpaceDN w:val="0"/>
        <w:adjustRightInd w:val="0"/>
        <w:jc w:val="both"/>
        <w:rPr>
          <w:color w:val="auto"/>
          <w:szCs w:val="21"/>
        </w:rPr>
      </w:pPr>
      <w:r w:rsidRPr="00283642">
        <w:rPr>
          <w:rFonts w:hint="eastAsia"/>
          <w:color w:val="auto"/>
          <w:szCs w:val="21"/>
        </w:rPr>
        <w:t>2、利润</w:t>
      </w:r>
      <w:proofErr w:type="gramStart"/>
      <w:r w:rsidRPr="00283642">
        <w:rPr>
          <w:rFonts w:hint="eastAsia"/>
          <w:color w:val="auto"/>
          <w:szCs w:val="21"/>
        </w:rPr>
        <w:t>表项目</w:t>
      </w:r>
      <w:proofErr w:type="gramEnd"/>
      <w:r w:rsidRPr="00283642">
        <w:rPr>
          <w:rFonts w:hint="eastAsia"/>
          <w:color w:val="auto"/>
          <w:szCs w:val="21"/>
        </w:rPr>
        <w:t>科目变动情况说明:</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755"/>
        <w:gridCol w:w="1686"/>
        <w:gridCol w:w="1122"/>
        <w:gridCol w:w="2463"/>
      </w:tblGrid>
      <w:tr w:rsidR="00CA3278" w:rsidRPr="00283642" w:rsidTr="00B76BD6">
        <w:tc>
          <w:tcPr>
            <w:tcW w:w="1530" w:type="dxa"/>
          </w:tcPr>
          <w:p w:rsidR="00CA3278" w:rsidRPr="00283642" w:rsidRDefault="00CA3278" w:rsidP="00B76BD6">
            <w:pPr>
              <w:autoSpaceDE w:val="0"/>
              <w:autoSpaceDN w:val="0"/>
              <w:adjustRightInd w:val="0"/>
              <w:ind w:firstLineChars="200" w:firstLine="420"/>
              <w:jc w:val="both"/>
              <w:rPr>
                <w:color w:val="auto"/>
                <w:szCs w:val="21"/>
              </w:rPr>
            </w:pPr>
            <w:r w:rsidRPr="00283642">
              <w:rPr>
                <w:rFonts w:hint="eastAsia"/>
                <w:color w:val="auto"/>
                <w:szCs w:val="21"/>
              </w:rPr>
              <w:t>项目</w:t>
            </w:r>
          </w:p>
        </w:tc>
        <w:tc>
          <w:tcPr>
            <w:tcW w:w="1755" w:type="dxa"/>
          </w:tcPr>
          <w:p w:rsidR="00CA3278" w:rsidRPr="00283642" w:rsidRDefault="00CA3278" w:rsidP="00B76BD6">
            <w:pPr>
              <w:autoSpaceDE w:val="0"/>
              <w:autoSpaceDN w:val="0"/>
              <w:adjustRightInd w:val="0"/>
              <w:jc w:val="both"/>
              <w:rPr>
                <w:color w:val="auto"/>
                <w:szCs w:val="21"/>
              </w:rPr>
            </w:pPr>
            <w:r w:rsidRPr="00283642">
              <w:rPr>
                <w:rFonts w:hint="eastAsia"/>
                <w:color w:val="auto"/>
                <w:szCs w:val="21"/>
              </w:rPr>
              <w:t>本期数</w:t>
            </w:r>
          </w:p>
        </w:tc>
        <w:tc>
          <w:tcPr>
            <w:tcW w:w="1686" w:type="dxa"/>
          </w:tcPr>
          <w:p w:rsidR="00CA3278" w:rsidRPr="00283642" w:rsidRDefault="00CA3278" w:rsidP="00B76BD6">
            <w:pPr>
              <w:autoSpaceDE w:val="0"/>
              <w:autoSpaceDN w:val="0"/>
              <w:adjustRightInd w:val="0"/>
              <w:jc w:val="both"/>
              <w:rPr>
                <w:color w:val="auto"/>
                <w:szCs w:val="21"/>
              </w:rPr>
            </w:pPr>
            <w:r w:rsidRPr="00283642">
              <w:rPr>
                <w:rFonts w:hint="eastAsia"/>
                <w:color w:val="auto"/>
                <w:szCs w:val="21"/>
              </w:rPr>
              <w:t>上年同期数</w:t>
            </w:r>
          </w:p>
        </w:tc>
        <w:tc>
          <w:tcPr>
            <w:tcW w:w="1122" w:type="dxa"/>
          </w:tcPr>
          <w:p w:rsidR="00CA3278" w:rsidRPr="00283642" w:rsidRDefault="00CA3278" w:rsidP="00B76BD6">
            <w:pPr>
              <w:autoSpaceDE w:val="0"/>
              <w:autoSpaceDN w:val="0"/>
              <w:adjustRightInd w:val="0"/>
              <w:jc w:val="both"/>
              <w:rPr>
                <w:color w:val="auto"/>
                <w:szCs w:val="21"/>
              </w:rPr>
            </w:pPr>
            <w:r w:rsidRPr="00283642">
              <w:rPr>
                <w:rFonts w:hint="eastAsia"/>
                <w:color w:val="auto"/>
                <w:szCs w:val="21"/>
              </w:rPr>
              <w:t xml:space="preserve">增减变动(%) </w:t>
            </w:r>
          </w:p>
        </w:tc>
        <w:tc>
          <w:tcPr>
            <w:tcW w:w="2463" w:type="dxa"/>
          </w:tcPr>
          <w:p w:rsidR="00CA3278" w:rsidRPr="00283642" w:rsidRDefault="00CA3278" w:rsidP="00B76BD6">
            <w:pPr>
              <w:autoSpaceDE w:val="0"/>
              <w:autoSpaceDN w:val="0"/>
              <w:adjustRightInd w:val="0"/>
              <w:ind w:firstLineChars="150" w:firstLine="315"/>
              <w:jc w:val="both"/>
              <w:rPr>
                <w:color w:val="auto"/>
                <w:szCs w:val="21"/>
              </w:rPr>
            </w:pPr>
            <w:r w:rsidRPr="00283642">
              <w:rPr>
                <w:rFonts w:hint="eastAsia"/>
                <w:color w:val="auto"/>
                <w:szCs w:val="21"/>
              </w:rPr>
              <w:t>原因</w:t>
            </w:r>
          </w:p>
        </w:tc>
      </w:tr>
      <w:tr w:rsidR="00CA3278" w:rsidRPr="00283642" w:rsidTr="00B76BD6">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Pr>
                <w:rFonts w:hint="eastAsia"/>
                <w:szCs w:val="21"/>
              </w:rPr>
              <w:t xml:space="preserve">  </w:t>
            </w:r>
            <w:r w:rsidRPr="00283642">
              <w:rPr>
                <w:rFonts w:hint="eastAsia"/>
                <w:szCs w:val="21"/>
              </w:rPr>
              <w:t>研发费用</w:t>
            </w:r>
          </w:p>
        </w:tc>
        <w:tc>
          <w:tcPr>
            <w:tcW w:w="1755" w:type="dxa"/>
            <w:tcBorders>
              <w:top w:val="single" w:sz="4" w:space="0" w:color="auto"/>
              <w:left w:val="nil"/>
              <w:bottom w:val="single" w:sz="4" w:space="0" w:color="auto"/>
              <w:right w:val="single" w:sz="4" w:space="0" w:color="auto"/>
            </w:tcBorders>
            <w:shd w:val="clear" w:color="auto" w:fill="auto"/>
            <w:vAlign w:val="center"/>
          </w:tcPr>
          <w:p w:rsidR="00CA3278" w:rsidRPr="00283642" w:rsidRDefault="00CA3278" w:rsidP="00B76BD6">
            <w:pPr>
              <w:jc w:val="center"/>
              <w:rPr>
                <w:szCs w:val="21"/>
              </w:rPr>
            </w:pPr>
            <w:r w:rsidRPr="00283642">
              <w:rPr>
                <w:rFonts w:hint="eastAsia"/>
                <w:szCs w:val="21"/>
              </w:rPr>
              <w:t xml:space="preserve">     6,345,409.35 </w:t>
            </w:r>
          </w:p>
        </w:tc>
        <w:tc>
          <w:tcPr>
            <w:tcW w:w="1686" w:type="dxa"/>
            <w:tcBorders>
              <w:top w:val="single" w:sz="4" w:space="0" w:color="auto"/>
              <w:left w:val="nil"/>
              <w:bottom w:val="single" w:sz="4" w:space="0" w:color="auto"/>
              <w:right w:val="single" w:sz="4" w:space="0" w:color="auto"/>
            </w:tcBorders>
            <w:shd w:val="clear" w:color="auto" w:fill="auto"/>
            <w:vAlign w:val="center"/>
          </w:tcPr>
          <w:p w:rsidR="00CA3278" w:rsidRPr="00283642" w:rsidRDefault="00CA3278" w:rsidP="00B76BD6">
            <w:pPr>
              <w:jc w:val="center"/>
              <w:rPr>
                <w:szCs w:val="21"/>
              </w:rPr>
            </w:pPr>
            <w:r w:rsidRPr="00283642">
              <w:rPr>
                <w:rFonts w:hint="eastAsia"/>
                <w:szCs w:val="21"/>
              </w:rPr>
              <w:t xml:space="preserve">　</w:t>
            </w:r>
          </w:p>
        </w:tc>
        <w:tc>
          <w:tcPr>
            <w:tcW w:w="1122" w:type="dxa"/>
            <w:tcBorders>
              <w:top w:val="single" w:sz="4" w:space="0" w:color="auto"/>
              <w:left w:val="nil"/>
              <w:bottom w:val="single" w:sz="4" w:space="0" w:color="auto"/>
              <w:right w:val="single" w:sz="4" w:space="0" w:color="auto"/>
            </w:tcBorders>
            <w:shd w:val="clear" w:color="auto" w:fill="auto"/>
            <w:vAlign w:val="center"/>
          </w:tcPr>
          <w:p w:rsidR="00CA3278" w:rsidRPr="00283642" w:rsidRDefault="00CA3278" w:rsidP="00B76BD6">
            <w:pPr>
              <w:jc w:val="center"/>
              <w:rPr>
                <w:szCs w:val="21"/>
              </w:rPr>
            </w:pPr>
            <w:r w:rsidRPr="00283642">
              <w:rPr>
                <w:rFonts w:hint="eastAsia"/>
                <w:szCs w:val="21"/>
              </w:rPr>
              <w:t xml:space="preserve">　</w:t>
            </w:r>
          </w:p>
        </w:tc>
        <w:tc>
          <w:tcPr>
            <w:tcW w:w="2463" w:type="dxa"/>
            <w:tcBorders>
              <w:top w:val="single" w:sz="4" w:space="0" w:color="auto"/>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主要系本期公司增加对水处理技术的研发所致；</w:t>
            </w:r>
          </w:p>
        </w:tc>
      </w:tr>
      <w:tr w:rsidR="00CA3278" w:rsidRPr="00283642" w:rsidTr="00B76BD6">
        <w:tc>
          <w:tcPr>
            <w:tcW w:w="1530"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ind w:firstLineChars="100" w:firstLine="210"/>
              <w:rPr>
                <w:szCs w:val="21"/>
              </w:rPr>
            </w:pPr>
            <w:r w:rsidRPr="00283642">
              <w:rPr>
                <w:rFonts w:hint="eastAsia"/>
                <w:szCs w:val="21"/>
              </w:rPr>
              <w:t>其他收益</w:t>
            </w:r>
          </w:p>
        </w:tc>
        <w:tc>
          <w:tcPr>
            <w:tcW w:w="1755" w:type="dxa"/>
            <w:tcBorders>
              <w:top w:val="nil"/>
              <w:left w:val="nil"/>
              <w:bottom w:val="single" w:sz="4" w:space="0" w:color="auto"/>
              <w:right w:val="single" w:sz="4" w:space="0" w:color="auto"/>
            </w:tcBorders>
            <w:shd w:val="clear" w:color="auto" w:fill="auto"/>
            <w:vAlign w:val="center"/>
          </w:tcPr>
          <w:p w:rsidR="00CA3278" w:rsidRPr="00283642" w:rsidRDefault="00BC67A6" w:rsidP="00B76BD6">
            <w:pPr>
              <w:jc w:val="center"/>
              <w:rPr>
                <w:szCs w:val="21"/>
              </w:rPr>
            </w:pPr>
            <w:r>
              <w:rPr>
                <w:rFonts w:hint="eastAsia"/>
                <w:szCs w:val="21"/>
              </w:rPr>
              <w:t xml:space="preserve"> </w:t>
            </w:r>
            <w:r w:rsidR="00CA3278" w:rsidRPr="00283642">
              <w:rPr>
                <w:rFonts w:hint="eastAsia"/>
                <w:szCs w:val="21"/>
              </w:rPr>
              <w:t xml:space="preserve">44,748,213.74 </w:t>
            </w:r>
          </w:p>
        </w:tc>
        <w:tc>
          <w:tcPr>
            <w:tcW w:w="1686" w:type="dxa"/>
            <w:tcBorders>
              <w:top w:val="nil"/>
              <w:left w:val="nil"/>
              <w:bottom w:val="single" w:sz="4" w:space="0" w:color="auto"/>
              <w:right w:val="single" w:sz="4" w:space="0" w:color="auto"/>
            </w:tcBorders>
            <w:shd w:val="clear" w:color="auto" w:fill="auto"/>
            <w:vAlign w:val="center"/>
          </w:tcPr>
          <w:p w:rsidR="00CA3278" w:rsidRPr="00283642" w:rsidRDefault="00BC67A6" w:rsidP="00B76BD6">
            <w:pPr>
              <w:jc w:val="center"/>
              <w:rPr>
                <w:szCs w:val="21"/>
              </w:rPr>
            </w:pPr>
            <w:r>
              <w:rPr>
                <w:rFonts w:hint="eastAsia"/>
                <w:szCs w:val="21"/>
              </w:rPr>
              <w:t xml:space="preserve"> </w:t>
            </w:r>
            <w:r w:rsidR="00CA3278" w:rsidRPr="00283642">
              <w:rPr>
                <w:rFonts w:hint="eastAsia"/>
                <w:szCs w:val="21"/>
              </w:rPr>
              <w:t xml:space="preserve">29,979,343.46 </w:t>
            </w:r>
          </w:p>
        </w:tc>
        <w:tc>
          <w:tcPr>
            <w:tcW w:w="1122"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jc w:val="center"/>
              <w:rPr>
                <w:szCs w:val="21"/>
              </w:rPr>
            </w:pPr>
            <w:r>
              <w:rPr>
                <w:rFonts w:hint="eastAsia"/>
                <w:szCs w:val="21"/>
              </w:rPr>
              <w:t>49.26</w:t>
            </w:r>
          </w:p>
        </w:tc>
        <w:tc>
          <w:tcPr>
            <w:tcW w:w="2463"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主要系本期子公司收到政府补助同比增加所致；</w:t>
            </w:r>
          </w:p>
        </w:tc>
      </w:tr>
      <w:tr w:rsidR="00CA3278" w:rsidRPr="00283642" w:rsidTr="00B76BD6">
        <w:tc>
          <w:tcPr>
            <w:tcW w:w="1530"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Pr>
                <w:rFonts w:hint="eastAsia"/>
                <w:szCs w:val="21"/>
              </w:rPr>
              <w:t xml:space="preserve">  </w:t>
            </w:r>
            <w:r w:rsidRPr="00283642">
              <w:rPr>
                <w:rFonts w:hint="eastAsia"/>
                <w:szCs w:val="21"/>
              </w:rPr>
              <w:t>投资收益</w:t>
            </w:r>
          </w:p>
        </w:tc>
        <w:tc>
          <w:tcPr>
            <w:tcW w:w="1755" w:type="dxa"/>
            <w:tcBorders>
              <w:top w:val="nil"/>
              <w:left w:val="nil"/>
              <w:bottom w:val="single" w:sz="4" w:space="0" w:color="auto"/>
              <w:right w:val="single" w:sz="4" w:space="0" w:color="auto"/>
            </w:tcBorders>
            <w:shd w:val="clear" w:color="auto" w:fill="auto"/>
            <w:vAlign w:val="center"/>
          </w:tcPr>
          <w:p w:rsidR="00CA3278" w:rsidRPr="00283642" w:rsidRDefault="00BC67A6" w:rsidP="00B76BD6">
            <w:pPr>
              <w:jc w:val="center"/>
              <w:rPr>
                <w:szCs w:val="21"/>
              </w:rPr>
            </w:pPr>
            <w:r>
              <w:rPr>
                <w:rFonts w:hint="eastAsia"/>
                <w:szCs w:val="21"/>
              </w:rPr>
              <w:t xml:space="preserve"> </w:t>
            </w:r>
            <w:r w:rsidR="00CA3278" w:rsidRPr="00283642">
              <w:rPr>
                <w:rFonts w:hint="eastAsia"/>
                <w:szCs w:val="21"/>
              </w:rPr>
              <w:t xml:space="preserve">12,452,285.86 </w:t>
            </w:r>
          </w:p>
        </w:tc>
        <w:tc>
          <w:tcPr>
            <w:tcW w:w="1686" w:type="dxa"/>
            <w:tcBorders>
              <w:top w:val="nil"/>
              <w:left w:val="nil"/>
              <w:bottom w:val="single" w:sz="4" w:space="0" w:color="auto"/>
              <w:right w:val="single" w:sz="4" w:space="0" w:color="auto"/>
            </w:tcBorders>
            <w:shd w:val="clear" w:color="auto" w:fill="auto"/>
            <w:vAlign w:val="center"/>
          </w:tcPr>
          <w:p w:rsidR="00CA3278" w:rsidRPr="00283642" w:rsidRDefault="00BC67A6" w:rsidP="00BC67A6">
            <w:pPr>
              <w:jc w:val="center"/>
              <w:rPr>
                <w:szCs w:val="21"/>
              </w:rPr>
            </w:pPr>
            <w:r>
              <w:rPr>
                <w:szCs w:val="21"/>
              </w:rPr>
              <w:t>-</w:t>
            </w:r>
            <w:r w:rsidRPr="00283642">
              <w:rPr>
                <w:rFonts w:hint="eastAsia"/>
                <w:szCs w:val="21"/>
              </w:rPr>
              <w:t>37,675,865.67</w:t>
            </w:r>
          </w:p>
        </w:tc>
        <w:tc>
          <w:tcPr>
            <w:tcW w:w="1122"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jc w:val="center"/>
              <w:rPr>
                <w:szCs w:val="21"/>
              </w:rPr>
            </w:pPr>
            <w:r>
              <w:rPr>
                <w:rFonts w:hint="eastAsia"/>
                <w:szCs w:val="21"/>
              </w:rPr>
              <w:t>133.05</w:t>
            </w:r>
          </w:p>
        </w:tc>
        <w:tc>
          <w:tcPr>
            <w:tcW w:w="2463"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主要系本期按权益法确认的投资收益同比增加所致；</w:t>
            </w:r>
          </w:p>
        </w:tc>
      </w:tr>
      <w:tr w:rsidR="00CA3278" w:rsidRPr="00283642" w:rsidTr="00B76BD6">
        <w:tc>
          <w:tcPr>
            <w:tcW w:w="1530"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资产处置收益</w:t>
            </w:r>
          </w:p>
        </w:tc>
        <w:tc>
          <w:tcPr>
            <w:tcW w:w="1755" w:type="dxa"/>
            <w:tcBorders>
              <w:top w:val="nil"/>
              <w:left w:val="nil"/>
              <w:bottom w:val="single" w:sz="4" w:space="0" w:color="auto"/>
              <w:right w:val="single" w:sz="4" w:space="0" w:color="auto"/>
            </w:tcBorders>
            <w:shd w:val="clear" w:color="auto" w:fill="auto"/>
            <w:vAlign w:val="center"/>
          </w:tcPr>
          <w:p w:rsidR="00CA3278" w:rsidRPr="00283642" w:rsidRDefault="00BC67A6" w:rsidP="00B76BD6">
            <w:pPr>
              <w:jc w:val="center"/>
              <w:rPr>
                <w:szCs w:val="21"/>
              </w:rPr>
            </w:pPr>
            <w:r>
              <w:rPr>
                <w:rFonts w:hint="eastAsia"/>
                <w:szCs w:val="21"/>
              </w:rPr>
              <w:t xml:space="preserve">  </w:t>
            </w:r>
            <w:r w:rsidR="00CA3278" w:rsidRPr="00283642">
              <w:rPr>
                <w:rFonts w:hint="eastAsia"/>
                <w:szCs w:val="21"/>
              </w:rPr>
              <w:t xml:space="preserve">1,618,298.35 </w:t>
            </w:r>
          </w:p>
        </w:tc>
        <w:tc>
          <w:tcPr>
            <w:tcW w:w="1686" w:type="dxa"/>
            <w:tcBorders>
              <w:top w:val="nil"/>
              <w:left w:val="nil"/>
              <w:bottom w:val="single" w:sz="4" w:space="0" w:color="auto"/>
              <w:right w:val="single" w:sz="4" w:space="0" w:color="auto"/>
            </w:tcBorders>
            <w:shd w:val="clear" w:color="auto" w:fill="auto"/>
            <w:vAlign w:val="center"/>
          </w:tcPr>
          <w:p w:rsidR="00CA3278" w:rsidRPr="00283642" w:rsidRDefault="00BC67A6" w:rsidP="00B76BD6">
            <w:pPr>
              <w:jc w:val="center"/>
              <w:rPr>
                <w:szCs w:val="21"/>
              </w:rPr>
            </w:pPr>
            <w:r>
              <w:rPr>
                <w:rFonts w:hint="eastAsia"/>
                <w:szCs w:val="21"/>
              </w:rPr>
              <w:t xml:space="preserve">    </w:t>
            </w:r>
            <w:r w:rsidR="00CA3278" w:rsidRPr="00283642">
              <w:rPr>
                <w:rFonts w:hint="eastAsia"/>
                <w:szCs w:val="21"/>
              </w:rPr>
              <w:t xml:space="preserve">443,599.74 </w:t>
            </w:r>
          </w:p>
        </w:tc>
        <w:tc>
          <w:tcPr>
            <w:tcW w:w="1122"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jc w:val="center"/>
              <w:rPr>
                <w:szCs w:val="21"/>
              </w:rPr>
            </w:pPr>
            <w:r>
              <w:rPr>
                <w:rFonts w:hint="eastAsia"/>
                <w:szCs w:val="21"/>
              </w:rPr>
              <w:t>264.81</w:t>
            </w:r>
          </w:p>
        </w:tc>
        <w:tc>
          <w:tcPr>
            <w:tcW w:w="2463"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主要系本期公司资产</w:t>
            </w:r>
            <w:proofErr w:type="gramStart"/>
            <w:r w:rsidRPr="00283642">
              <w:rPr>
                <w:rFonts w:hint="eastAsia"/>
                <w:szCs w:val="21"/>
              </w:rPr>
              <w:t>处置较</w:t>
            </w:r>
            <w:proofErr w:type="gramEnd"/>
            <w:r w:rsidRPr="00283642">
              <w:rPr>
                <w:rFonts w:hint="eastAsia"/>
                <w:szCs w:val="21"/>
              </w:rPr>
              <w:t>上年同期增加所致；</w:t>
            </w:r>
          </w:p>
        </w:tc>
      </w:tr>
      <w:tr w:rsidR="00CA3278" w:rsidRPr="00283642" w:rsidTr="00B76BD6">
        <w:tc>
          <w:tcPr>
            <w:tcW w:w="1530"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ind w:firstLineChars="100" w:firstLine="210"/>
              <w:rPr>
                <w:szCs w:val="21"/>
              </w:rPr>
            </w:pPr>
            <w:r w:rsidRPr="00283642">
              <w:rPr>
                <w:rFonts w:hint="eastAsia"/>
                <w:szCs w:val="21"/>
              </w:rPr>
              <w:t>营业外支出</w:t>
            </w:r>
          </w:p>
        </w:tc>
        <w:tc>
          <w:tcPr>
            <w:tcW w:w="1755" w:type="dxa"/>
            <w:tcBorders>
              <w:top w:val="nil"/>
              <w:left w:val="nil"/>
              <w:bottom w:val="single" w:sz="4" w:space="0" w:color="auto"/>
              <w:right w:val="single" w:sz="4" w:space="0" w:color="auto"/>
            </w:tcBorders>
            <w:shd w:val="clear" w:color="auto" w:fill="auto"/>
            <w:vAlign w:val="center"/>
          </w:tcPr>
          <w:p w:rsidR="00CA3278" w:rsidRPr="00283642" w:rsidRDefault="00BC67A6" w:rsidP="00B76BD6">
            <w:pPr>
              <w:jc w:val="center"/>
              <w:rPr>
                <w:szCs w:val="21"/>
              </w:rPr>
            </w:pPr>
            <w:r>
              <w:rPr>
                <w:rFonts w:hint="eastAsia"/>
                <w:szCs w:val="21"/>
              </w:rPr>
              <w:t xml:space="preserve">  </w:t>
            </w:r>
            <w:r w:rsidR="00CA3278" w:rsidRPr="00283642">
              <w:rPr>
                <w:rFonts w:hint="eastAsia"/>
                <w:szCs w:val="21"/>
              </w:rPr>
              <w:t xml:space="preserve">5,525,991.18 </w:t>
            </w:r>
          </w:p>
        </w:tc>
        <w:tc>
          <w:tcPr>
            <w:tcW w:w="1686" w:type="dxa"/>
            <w:tcBorders>
              <w:top w:val="nil"/>
              <w:left w:val="nil"/>
              <w:bottom w:val="single" w:sz="4" w:space="0" w:color="auto"/>
              <w:right w:val="single" w:sz="4" w:space="0" w:color="auto"/>
            </w:tcBorders>
            <w:shd w:val="clear" w:color="auto" w:fill="auto"/>
            <w:vAlign w:val="center"/>
          </w:tcPr>
          <w:p w:rsidR="00CA3278" w:rsidRPr="00283642" w:rsidRDefault="00BC67A6" w:rsidP="00B76BD6">
            <w:pPr>
              <w:jc w:val="center"/>
              <w:rPr>
                <w:szCs w:val="21"/>
              </w:rPr>
            </w:pPr>
            <w:r>
              <w:rPr>
                <w:rFonts w:hint="eastAsia"/>
                <w:szCs w:val="21"/>
              </w:rPr>
              <w:t xml:space="preserve">    </w:t>
            </w:r>
            <w:r w:rsidR="00CA3278" w:rsidRPr="00283642">
              <w:rPr>
                <w:rFonts w:hint="eastAsia"/>
                <w:szCs w:val="21"/>
              </w:rPr>
              <w:t xml:space="preserve">227,163.71 </w:t>
            </w:r>
          </w:p>
        </w:tc>
        <w:tc>
          <w:tcPr>
            <w:tcW w:w="1122"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jc w:val="center"/>
              <w:rPr>
                <w:szCs w:val="21"/>
              </w:rPr>
            </w:pPr>
            <w:r>
              <w:rPr>
                <w:rFonts w:hint="eastAsia"/>
                <w:szCs w:val="21"/>
              </w:rPr>
              <w:t>2332.60</w:t>
            </w:r>
          </w:p>
        </w:tc>
        <w:tc>
          <w:tcPr>
            <w:tcW w:w="2463"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主要系本期公司资产报废较上年同期增加所致；</w:t>
            </w:r>
          </w:p>
        </w:tc>
      </w:tr>
      <w:tr w:rsidR="00CA3278" w:rsidRPr="00283642" w:rsidTr="00B76BD6">
        <w:tc>
          <w:tcPr>
            <w:tcW w:w="1530"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ind w:firstLineChars="100" w:firstLine="210"/>
              <w:rPr>
                <w:szCs w:val="21"/>
              </w:rPr>
            </w:pPr>
            <w:r w:rsidRPr="00283642">
              <w:rPr>
                <w:rFonts w:hint="eastAsia"/>
                <w:szCs w:val="21"/>
              </w:rPr>
              <w:t>所得税费用</w:t>
            </w:r>
          </w:p>
        </w:tc>
        <w:tc>
          <w:tcPr>
            <w:tcW w:w="1755" w:type="dxa"/>
            <w:tcBorders>
              <w:top w:val="nil"/>
              <w:left w:val="nil"/>
              <w:bottom w:val="single" w:sz="4" w:space="0" w:color="auto"/>
              <w:right w:val="single" w:sz="4" w:space="0" w:color="auto"/>
            </w:tcBorders>
            <w:shd w:val="clear" w:color="auto" w:fill="auto"/>
            <w:vAlign w:val="center"/>
          </w:tcPr>
          <w:p w:rsidR="00CA3278" w:rsidRPr="00283642" w:rsidRDefault="00BC67A6" w:rsidP="00B76BD6">
            <w:pPr>
              <w:jc w:val="center"/>
              <w:rPr>
                <w:szCs w:val="21"/>
              </w:rPr>
            </w:pPr>
            <w:r>
              <w:rPr>
                <w:rFonts w:hint="eastAsia"/>
                <w:szCs w:val="21"/>
              </w:rPr>
              <w:t xml:space="preserve"> </w:t>
            </w:r>
            <w:r w:rsidR="00CA3278" w:rsidRPr="00283642">
              <w:rPr>
                <w:rFonts w:hint="eastAsia"/>
                <w:szCs w:val="21"/>
              </w:rPr>
              <w:t xml:space="preserve">46,878,834.89 </w:t>
            </w:r>
          </w:p>
        </w:tc>
        <w:tc>
          <w:tcPr>
            <w:tcW w:w="1686" w:type="dxa"/>
            <w:tcBorders>
              <w:top w:val="nil"/>
              <w:left w:val="nil"/>
              <w:bottom w:val="single" w:sz="4" w:space="0" w:color="auto"/>
              <w:right w:val="single" w:sz="4" w:space="0" w:color="auto"/>
            </w:tcBorders>
            <w:shd w:val="clear" w:color="auto" w:fill="auto"/>
            <w:vAlign w:val="center"/>
          </w:tcPr>
          <w:p w:rsidR="00CA3278" w:rsidRPr="00283642" w:rsidRDefault="00BC67A6" w:rsidP="00B76BD6">
            <w:pPr>
              <w:jc w:val="center"/>
              <w:rPr>
                <w:szCs w:val="21"/>
              </w:rPr>
            </w:pPr>
            <w:r>
              <w:rPr>
                <w:rFonts w:hint="eastAsia"/>
                <w:szCs w:val="21"/>
              </w:rPr>
              <w:t xml:space="preserve"> </w:t>
            </w:r>
            <w:r w:rsidR="00CA3278" w:rsidRPr="00283642">
              <w:rPr>
                <w:rFonts w:hint="eastAsia"/>
                <w:szCs w:val="21"/>
              </w:rPr>
              <w:t xml:space="preserve">32,946,036.45 </w:t>
            </w:r>
          </w:p>
        </w:tc>
        <w:tc>
          <w:tcPr>
            <w:tcW w:w="1122"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jc w:val="center"/>
              <w:rPr>
                <w:szCs w:val="21"/>
              </w:rPr>
            </w:pPr>
            <w:r>
              <w:rPr>
                <w:rFonts w:hint="eastAsia"/>
                <w:szCs w:val="21"/>
              </w:rPr>
              <w:t>42.29</w:t>
            </w:r>
          </w:p>
        </w:tc>
        <w:tc>
          <w:tcPr>
            <w:tcW w:w="2463"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主要系本期部分子公司利润增长，相应计提当期所得税费用增加所致； </w:t>
            </w:r>
          </w:p>
        </w:tc>
      </w:tr>
    </w:tbl>
    <w:p w:rsidR="00CA3278" w:rsidRDefault="00CA3278" w:rsidP="00CA3278">
      <w:pPr>
        <w:autoSpaceDE w:val="0"/>
        <w:autoSpaceDN w:val="0"/>
        <w:adjustRightInd w:val="0"/>
        <w:jc w:val="both"/>
        <w:rPr>
          <w:color w:val="auto"/>
          <w:szCs w:val="21"/>
        </w:rPr>
      </w:pPr>
    </w:p>
    <w:p w:rsidR="00CA3278" w:rsidRPr="00283642" w:rsidRDefault="00CA3278" w:rsidP="00CA3278">
      <w:pPr>
        <w:autoSpaceDE w:val="0"/>
        <w:autoSpaceDN w:val="0"/>
        <w:adjustRightInd w:val="0"/>
        <w:jc w:val="both"/>
        <w:rPr>
          <w:color w:val="auto"/>
          <w:szCs w:val="21"/>
        </w:rPr>
      </w:pPr>
      <w:r>
        <w:rPr>
          <w:color w:val="auto"/>
          <w:szCs w:val="21"/>
        </w:rPr>
        <w:t>3</w:t>
      </w:r>
      <w:r>
        <w:rPr>
          <w:rFonts w:hint="eastAsia"/>
          <w:color w:val="auto"/>
          <w:szCs w:val="21"/>
        </w:rPr>
        <w:t>、</w:t>
      </w:r>
      <w:r w:rsidRPr="00283642">
        <w:rPr>
          <w:rFonts w:hint="eastAsia"/>
          <w:color w:val="auto"/>
          <w:szCs w:val="21"/>
        </w:rPr>
        <w:t>现金流量表科目变动情况表</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1985"/>
        <w:gridCol w:w="1134"/>
        <w:gridCol w:w="2410"/>
      </w:tblGrid>
      <w:tr w:rsidR="00CA3278" w:rsidRPr="00283642" w:rsidTr="00B76BD6">
        <w:tc>
          <w:tcPr>
            <w:tcW w:w="1702" w:type="dxa"/>
          </w:tcPr>
          <w:p w:rsidR="00CA3278" w:rsidRPr="00283642" w:rsidRDefault="00CA3278" w:rsidP="00B76BD6">
            <w:pPr>
              <w:widowControl w:val="0"/>
              <w:ind w:firstLineChars="200" w:firstLine="420"/>
              <w:jc w:val="both"/>
              <w:rPr>
                <w:color w:val="auto"/>
                <w:szCs w:val="21"/>
              </w:rPr>
            </w:pPr>
            <w:r w:rsidRPr="00283642">
              <w:rPr>
                <w:rFonts w:hint="eastAsia"/>
                <w:color w:val="auto"/>
                <w:szCs w:val="21"/>
              </w:rPr>
              <w:t>项目</w:t>
            </w:r>
          </w:p>
        </w:tc>
        <w:tc>
          <w:tcPr>
            <w:tcW w:w="1984" w:type="dxa"/>
          </w:tcPr>
          <w:p w:rsidR="00CA3278" w:rsidRPr="00283642" w:rsidRDefault="00CA3278" w:rsidP="00B76BD6">
            <w:pPr>
              <w:widowControl w:val="0"/>
              <w:jc w:val="both"/>
              <w:rPr>
                <w:color w:val="auto"/>
                <w:szCs w:val="21"/>
              </w:rPr>
            </w:pPr>
            <w:r w:rsidRPr="00283642">
              <w:rPr>
                <w:rFonts w:hint="eastAsia"/>
                <w:color w:val="auto"/>
                <w:szCs w:val="21"/>
              </w:rPr>
              <w:t>本期数</w:t>
            </w:r>
          </w:p>
        </w:tc>
        <w:tc>
          <w:tcPr>
            <w:tcW w:w="1985" w:type="dxa"/>
          </w:tcPr>
          <w:p w:rsidR="00CA3278" w:rsidRPr="00283642" w:rsidRDefault="00CA3278" w:rsidP="00B76BD6">
            <w:pPr>
              <w:widowControl w:val="0"/>
              <w:jc w:val="both"/>
              <w:rPr>
                <w:color w:val="auto"/>
                <w:szCs w:val="21"/>
              </w:rPr>
            </w:pPr>
            <w:r w:rsidRPr="00283642">
              <w:rPr>
                <w:rFonts w:hint="eastAsia"/>
                <w:color w:val="auto"/>
                <w:szCs w:val="21"/>
              </w:rPr>
              <w:t>上年同期数</w:t>
            </w:r>
          </w:p>
        </w:tc>
        <w:tc>
          <w:tcPr>
            <w:tcW w:w="1134" w:type="dxa"/>
          </w:tcPr>
          <w:p w:rsidR="00CA3278" w:rsidRPr="00283642" w:rsidRDefault="00CA3278" w:rsidP="00B76BD6">
            <w:pPr>
              <w:widowControl w:val="0"/>
              <w:jc w:val="both"/>
              <w:rPr>
                <w:color w:val="auto"/>
                <w:szCs w:val="21"/>
              </w:rPr>
            </w:pPr>
            <w:r w:rsidRPr="00283642">
              <w:rPr>
                <w:rFonts w:hint="eastAsia"/>
                <w:color w:val="auto"/>
                <w:szCs w:val="21"/>
              </w:rPr>
              <w:t>增减变动(%)</w:t>
            </w:r>
          </w:p>
        </w:tc>
        <w:tc>
          <w:tcPr>
            <w:tcW w:w="2410" w:type="dxa"/>
          </w:tcPr>
          <w:p w:rsidR="00CA3278" w:rsidRPr="00283642" w:rsidRDefault="00CA3278" w:rsidP="00B76BD6">
            <w:pPr>
              <w:widowControl w:val="0"/>
              <w:ind w:firstLineChars="50" w:firstLine="105"/>
              <w:jc w:val="both"/>
              <w:rPr>
                <w:color w:val="auto"/>
                <w:szCs w:val="21"/>
              </w:rPr>
            </w:pPr>
            <w:r w:rsidRPr="00283642">
              <w:rPr>
                <w:rFonts w:hint="eastAsia"/>
                <w:color w:val="auto"/>
                <w:szCs w:val="21"/>
              </w:rPr>
              <w:t>原因</w:t>
            </w:r>
          </w:p>
        </w:tc>
      </w:tr>
      <w:tr w:rsidR="00CA3278" w:rsidRPr="00283642" w:rsidTr="00B76BD6">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经营活动产生的现金流量净额</w:t>
            </w:r>
          </w:p>
        </w:tc>
        <w:tc>
          <w:tcPr>
            <w:tcW w:w="1984" w:type="dxa"/>
            <w:tcBorders>
              <w:top w:val="single" w:sz="4" w:space="0" w:color="auto"/>
              <w:left w:val="nil"/>
              <w:bottom w:val="single" w:sz="4" w:space="0" w:color="auto"/>
              <w:right w:val="single" w:sz="4" w:space="0" w:color="auto"/>
            </w:tcBorders>
            <w:shd w:val="clear" w:color="auto" w:fill="auto"/>
            <w:vAlign w:val="center"/>
          </w:tcPr>
          <w:p w:rsidR="00CA3278" w:rsidRPr="00283642" w:rsidRDefault="00BC67A6" w:rsidP="00B76BD6">
            <w:pPr>
              <w:jc w:val="right"/>
              <w:rPr>
                <w:szCs w:val="21"/>
              </w:rPr>
            </w:pPr>
            <w:r>
              <w:rPr>
                <w:rFonts w:hint="eastAsia"/>
                <w:szCs w:val="21"/>
              </w:rPr>
              <w:t xml:space="preserve"> </w:t>
            </w:r>
            <w:r w:rsidR="00CA3278" w:rsidRPr="00283642">
              <w:rPr>
                <w:rFonts w:hint="eastAsia"/>
                <w:szCs w:val="21"/>
              </w:rPr>
              <w:t xml:space="preserve">246,071,473.85 </w:t>
            </w:r>
          </w:p>
        </w:tc>
        <w:tc>
          <w:tcPr>
            <w:tcW w:w="1985" w:type="dxa"/>
            <w:tcBorders>
              <w:top w:val="single" w:sz="4" w:space="0" w:color="auto"/>
              <w:left w:val="nil"/>
              <w:bottom w:val="single" w:sz="4" w:space="0" w:color="auto"/>
              <w:right w:val="single" w:sz="4" w:space="0" w:color="auto"/>
            </w:tcBorders>
            <w:shd w:val="clear" w:color="auto" w:fill="auto"/>
            <w:vAlign w:val="center"/>
          </w:tcPr>
          <w:p w:rsidR="00CA3278" w:rsidRPr="00283642" w:rsidRDefault="00BC67A6" w:rsidP="00B76BD6">
            <w:pPr>
              <w:jc w:val="right"/>
              <w:rPr>
                <w:szCs w:val="21"/>
              </w:rPr>
            </w:pPr>
            <w:r>
              <w:rPr>
                <w:rFonts w:hint="eastAsia"/>
                <w:szCs w:val="21"/>
              </w:rPr>
              <w:t xml:space="preserve">  </w:t>
            </w:r>
            <w:r w:rsidR="00CA3278" w:rsidRPr="00283642">
              <w:rPr>
                <w:rFonts w:hint="eastAsia"/>
                <w:szCs w:val="21"/>
              </w:rPr>
              <w:t xml:space="preserve">278,403,727.25 </w:t>
            </w:r>
          </w:p>
        </w:tc>
        <w:tc>
          <w:tcPr>
            <w:tcW w:w="1134" w:type="dxa"/>
            <w:tcBorders>
              <w:top w:val="single" w:sz="4" w:space="0" w:color="auto"/>
              <w:left w:val="nil"/>
              <w:bottom w:val="single" w:sz="4" w:space="0" w:color="auto"/>
              <w:right w:val="single" w:sz="4" w:space="0" w:color="auto"/>
            </w:tcBorders>
            <w:shd w:val="clear" w:color="auto" w:fill="auto"/>
            <w:vAlign w:val="center"/>
          </w:tcPr>
          <w:p w:rsidR="00CA3278" w:rsidRPr="00283642" w:rsidRDefault="00CA3278" w:rsidP="00B76BD6">
            <w:pPr>
              <w:jc w:val="right"/>
              <w:rPr>
                <w:szCs w:val="21"/>
              </w:rPr>
            </w:pPr>
            <w:r>
              <w:rPr>
                <w:rFonts w:hint="eastAsia"/>
                <w:szCs w:val="21"/>
              </w:rPr>
              <w:t>-11.61</w:t>
            </w:r>
          </w:p>
        </w:tc>
        <w:tc>
          <w:tcPr>
            <w:tcW w:w="2410" w:type="dxa"/>
            <w:tcBorders>
              <w:top w:val="single" w:sz="4" w:space="0" w:color="auto"/>
              <w:left w:val="nil"/>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 xml:space="preserve">　</w:t>
            </w:r>
          </w:p>
        </w:tc>
      </w:tr>
      <w:tr w:rsidR="00CA3278" w:rsidRPr="00283642" w:rsidTr="00B76BD6">
        <w:tc>
          <w:tcPr>
            <w:tcW w:w="1702"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lastRenderedPageBreak/>
              <w:t>投资活动产生的现金流量净额</w:t>
            </w:r>
          </w:p>
        </w:tc>
        <w:tc>
          <w:tcPr>
            <w:tcW w:w="1984" w:type="dxa"/>
            <w:tcBorders>
              <w:top w:val="nil"/>
              <w:left w:val="nil"/>
              <w:bottom w:val="single" w:sz="4" w:space="0" w:color="auto"/>
              <w:right w:val="single" w:sz="4" w:space="0" w:color="auto"/>
            </w:tcBorders>
            <w:shd w:val="clear" w:color="auto" w:fill="auto"/>
            <w:vAlign w:val="center"/>
          </w:tcPr>
          <w:p w:rsidR="00CA3278" w:rsidRPr="00283642" w:rsidRDefault="00BC67A6" w:rsidP="00B76BD6">
            <w:pPr>
              <w:jc w:val="right"/>
              <w:rPr>
                <w:szCs w:val="21"/>
              </w:rPr>
            </w:pPr>
            <w:r>
              <w:rPr>
                <w:szCs w:val="21"/>
              </w:rPr>
              <w:t>-</w:t>
            </w:r>
            <w:r w:rsidR="00CA3278" w:rsidRPr="00283642">
              <w:rPr>
                <w:rFonts w:hint="eastAsia"/>
                <w:szCs w:val="21"/>
              </w:rPr>
              <w:t xml:space="preserve">272,057,813.81 </w:t>
            </w:r>
          </w:p>
        </w:tc>
        <w:tc>
          <w:tcPr>
            <w:tcW w:w="1985" w:type="dxa"/>
            <w:tcBorders>
              <w:top w:val="nil"/>
              <w:left w:val="nil"/>
              <w:bottom w:val="single" w:sz="4" w:space="0" w:color="auto"/>
              <w:right w:val="single" w:sz="4" w:space="0" w:color="auto"/>
            </w:tcBorders>
            <w:shd w:val="clear" w:color="auto" w:fill="auto"/>
            <w:vAlign w:val="center"/>
          </w:tcPr>
          <w:p w:rsidR="00CA3278" w:rsidRPr="00283642" w:rsidRDefault="00CA3278" w:rsidP="00BC67A6">
            <w:pPr>
              <w:jc w:val="right"/>
              <w:rPr>
                <w:szCs w:val="21"/>
              </w:rPr>
            </w:pPr>
            <w:r w:rsidRPr="00283642">
              <w:rPr>
                <w:rFonts w:hint="eastAsia"/>
                <w:szCs w:val="21"/>
              </w:rPr>
              <w:t xml:space="preserve"> </w:t>
            </w:r>
            <w:r w:rsidR="00BC67A6">
              <w:rPr>
                <w:szCs w:val="21"/>
              </w:rPr>
              <w:t>-</w:t>
            </w:r>
            <w:r w:rsidRPr="00283642">
              <w:rPr>
                <w:rFonts w:hint="eastAsia"/>
                <w:szCs w:val="21"/>
              </w:rPr>
              <w:t xml:space="preserve">154,010,687.32 </w:t>
            </w:r>
          </w:p>
        </w:tc>
        <w:tc>
          <w:tcPr>
            <w:tcW w:w="1134"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jc w:val="right"/>
              <w:rPr>
                <w:szCs w:val="21"/>
              </w:rPr>
            </w:pPr>
            <w:r>
              <w:rPr>
                <w:rFonts w:hint="eastAsia"/>
                <w:szCs w:val="21"/>
              </w:rPr>
              <w:t>-76.65</w:t>
            </w:r>
          </w:p>
        </w:tc>
        <w:tc>
          <w:tcPr>
            <w:tcW w:w="2410"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color w:val="auto"/>
                <w:szCs w:val="21"/>
              </w:rPr>
            </w:pPr>
            <w:r w:rsidRPr="00283642">
              <w:rPr>
                <w:rFonts w:hint="eastAsia"/>
                <w:szCs w:val="21"/>
              </w:rPr>
              <w:t>主要系本期公司赎回理财产品较上年同期减少所致；</w:t>
            </w:r>
          </w:p>
        </w:tc>
      </w:tr>
      <w:tr w:rsidR="00CA3278" w:rsidRPr="00283642" w:rsidTr="00B76BD6">
        <w:tc>
          <w:tcPr>
            <w:tcW w:w="1702" w:type="dxa"/>
            <w:tcBorders>
              <w:top w:val="nil"/>
              <w:left w:val="single" w:sz="4" w:space="0" w:color="auto"/>
              <w:bottom w:val="single" w:sz="4" w:space="0" w:color="auto"/>
              <w:right w:val="single" w:sz="4" w:space="0" w:color="auto"/>
            </w:tcBorders>
            <w:shd w:val="clear" w:color="auto" w:fill="auto"/>
            <w:vAlign w:val="center"/>
          </w:tcPr>
          <w:p w:rsidR="00CA3278" w:rsidRPr="00283642" w:rsidRDefault="00CA3278" w:rsidP="00B76BD6">
            <w:pPr>
              <w:rPr>
                <w:szCs w:val="21"/>
              </w:rPr>
            </w:pPr>
            <w:r w:rsidRPr="00283642">
              <w:rPr>
                <w:rFonts w:hint="eastAsia"/>
                <w:szCs w:val="21"/>
              </w:rPr>
              <w:t>筹资活动产生的现金流量净额</w:t>
            </w:r>
          </w:p>
        </w:tc>
        <w:tc>
          <w:tcPr>
            <w:tcW w:w="1984" w:type="dxa"/>
            <w:tcBorders>
              <w:top w:val="nil"/>
              <w:left w:val="nil"/>
              <w:bottom w:val="single" w:sz="4" w:space="0" w:color="auto"/>
              <w:right w:val="single" w:sz="4" w:space="0" w:color="auto"/>
            </w:tcBorders>
            <w:shd w:val="clear" w:color="auto" w:fill="auto"/>
            <w:vAlign w:val="center"/>
          </w:tcPr>
          <w:p w:rsidR="00CA3278" w:rsidRPr="00283642" w:rsidRDefault="00BC67A6" w:rsidP="00B76BD6">
            <w:pPr>
              <w:jc w:val="right"/>
              <w:rPr>
                <w:szCs w:val="21"/>
              </w:rPr>
            </w:pPr>
            <w:r>
              <w:rPr>
                <w:rFonts w:hint="eastAsia"/>
                <w:szCs w:val="21"/>
              </w:rPr>
              <w:t xml:space="preserve">  </w:t>
            </w:r>
            <w:r w:rsidR="00CA3278" w:rsidRPr="00283642">
              <w:rPr>
                <w:rFonts w:hint="eastAsia"/>
                <w:szCs w:val="21"/>
              </w:rPr>
              <w:t xml:space="preserve">261,972,371.94 </w:t>
            </w:r>
          </w:p>
        </w:tc>
        <w:tc>
          <w:tcPr>
            <w:tcW w:w="1985" w:type="dxa"/>
            <w:tcBorders>
              <w:top w:val="nil"/>
              <w:left w:val="nil"/>
              <w:bottom w:val="single" w:sz="4" w:space="0" w:color="auto"/>
              <w:right w:val="single" w:sz="4" w:space="0" w:color="auto"/>
            </w:tcBorders>
            <w:shd w:val="clear" w:color="auto" w:fill="auto"/>
            <w:vAlign w:val="center"/>
          </w:tcPr>
          <w:p w:rsidR="00CA3278" w:rsidRPr="00283642" w:rsidRDefault="00BC67A6" w:rsidP="00BC67A6">
            <w:pPr>
              <w:jc w:val="right"/>
              <w:rPr>
                <w:szCs w:val="21"/>
              </w:rPr>
            </w:pPr>
            <w:r>
              <w:rPr>
                <w:szCs w:val="21"/>
              </w:rPr>
              <w:t>-</w:t>
            </w:r>
            <w:r w:rsidR="00CA3278" w:rsidRPr="00283642">
              <w:rPr>
                <w:rFonts w:hint="eastAsia"/>
                <w:szCs w:val="21"/>
              </w:rPr>
              <w:t xml:space="preserve">181,960,428.14 </w:t>
            </w:r>
          </w:p>
        </w:tc>
        <w:tc>
          <w:tcPr>
            <w:tcW w:w="1134"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jc w:val="right"/>
              <w:rPr>
                <w:szCs w:val="21"/>
              </w:rPr>
            </w:pPr>
            <w:r>
              <w:rPr>
                <w:rFonts w:hint="eastAsia"/>
                <w:szCs w:val="21"/>
              </w:rPr>
              <w:t>243.97</w:t>
            </w:r>
          </w:p>
        </w:tc>
        <w:tc>
          <w:tcPr>
            <w:tcW w:w="2410" w:type="dxa"/>
            <w:tcBorders>
              <w:top w:val="nil"/>
              <w:left w:val="nil"/>
              <w:bottom w:val="single" w:sz="4" w:space="0" w:color="auto"/>
              <w:right w:val="single" w:sz="4" w:space="0" w:color="auto"/>
            </w:tcBorders>
            <w:shd w:val="clear" w:color="auto" w:fill="auto"/>
            <w:vAlign w:val="center"/>
          </w:tcPr>
          <w:p w:rsidR="00CA3278" w:rsidRPr="00283642" w:rsidRDefault="00CA3278" w:rsidP="00B76BD6">
            <w:pPr>
              <w:rPr>
                <w:color w:val="auto"/>
                <w:szCs w:val="21"/>
              </w:rPr>
            </w:pPr>
            <w:r w:rsidRPr="00283642">
              <w:rPr>
                <w:rFonts w:hint="eastAsia"/>
                <w:szCs w:val="21"/>
              </w:rPr>
              <w:t>主要系本期公司取得借款收到的现金较去年同期增加所致；</w:t>
            </w:r>
          </w:p>
        </w:tc>
      </w:tr>
    </w:tbl>
    <w:p w:rsidR="00CA3278" w:rsidRPr="00283642" w:rsidRDefault="00CA3278" w:rsidP="00CA3278">
      <w:pPr>
        <w:rPr>
          <w:szCs w:val="21"/>
        </w:rPr>
      </w:pPr>
    </w:p>
    <w:p w:rsidR="00CA3278" w:rsidRDefault="00CA3278" w:rsidP="00CA3278">
      <w:pPr>
        <w:autoSpaceDE w:val="0"/>
        <w:autoSpaceDN w:val="0"/>
        <w:adjustRightInd w:val="0"/>
        <w:jc w:val="both"/>
        <w:rPr>
          <w:color w:val="auto"/>
          <w:szCs w:val="21"/>
        </w:rPr>
      </w:pPr>
    </w:p>
    <w:p w:rsidR="00CA3278" w:rsidRDefault="00CA3278" w:rsidP="00CA3278">
      <w:pPr>
        <w:rPr>
          <w:szCs w:val="21"/>
        </w:rPr>
      </w:pPr>
    </w:p>
    <w:p w:rsidR="00CA3278" w:rsidRDefault="00CA3278" w:rsidP="00CA3278">
      <w:pPr>
        <w:pStyle w:val="2"/>
        <w:numPr>
          <w:ilvl w:val="0"/>
          <w:numId w:val="4"/>
        </w:numPr>
        <w:rPr>
          <w:b/>
        </w:rPr>
      </w:pPr>
      <w:r>
        <w:t>重</w:t>
      </w:r>
      <w:r>
        <w:rPr>
          <w:rFonts w:hint="eastAsia"/>
        </w:rPr>
        <w:t>要</w:t>
      </w:r>
      <w:r>
        <w:t>事项进展情况及其影响和解决方案的分析说明</w:t>
      </w:r>
    </w:p>
    <w:p w:rsidR="00CA3278" w:rsidRDefault="00CA3278" w:rsidP="00CA3278">
      <w:pPr>
        <w:widowControl w:val="0"/>
        <w:jc w:val="both"/>
        <w:rPr>
          <w:color w:val="auto"/>
          <w:szCs w:val="21"/>
        </w:rPr>
      </w:pPr>
      <w:r>
        <w:rPr>
          <w:color w:val="auto"/>
          <w:szCs w:val="21"/>
        </w:rPr>
        <w:fldChar w:fldCharType="begin"/>
      </w:r>
      <w:r>
        <w:rPr>
          <w:rFonts w:hint="eastAsia"/>
          <w:color w:val="auto"/>
          <w:szCs w:val="21"/>
        </w:rPr>
        <w:instrText xml:space="preserve"> MACROBUTTON  SnrToggleCheckbox □适用 </w:instrText>
      </w:r>
      <w:r>
        <w:rPr>
          <w:color w:val="auto"/>
          <w:szCs w:val="21"/>
        </w:rPr>
        <w:fldChar w:fldCharType="end"/>
      </w:r>
      <w:r>
        <w:rPr>
          <w:color w:val="auto"/>
          <w:szCs w:val="21"/>
        </w:rPr>
        <w:fldChar w:fldCharType="begin"/>
      </w:r>
      <w:r>
        <w:rPr>
          <w:rFonts w:hint="eastAsia"/>
          <w:color w:val="auto"/>
          <w:szCs w:val="21"/>
        </w:rPr>
        <w:instrText xml:space="preserve"> MACROBUTTON  SnrToggleCheckbox √不适用 </w:instrText>
      </w:r>
      <w:r>
        <w:rPr>
          <w:color w:val="auto"/>
          <w:szCs w:val="21"/>
        </w:rPr>
        <w:fldChar w:fldCharType="end"/>
      </w:r>
    </w:p>
    <w:p w:rsidR="00CA3278" w:rsidRDefault="00CA3278" w:rsidP="00CA3278">
      <w:pPr>
        <w:rPr>
          <w:szCs w:val="21"/>
        </w:rPr>
      </w:pPr>
    </w:p>
    <w:p w:rsidR="00CA3278" w:rsidRDefault="00CA3278" w:rsidP="00CA3278">
      <w:pPr>
        <w:pStyle w:val="2"/>
        <w:numPr>
          <w:ilvl w:val="0"/>
          <w:numId w:val="4"/>
        </w:numPr>
      </w:pPr>
      <w:r>
        <w:rPr>
          <w:rStyle w:val="20"/>
          <w:rFonts w:hint="eastAsia"/>
        </w:rPr>
        <w:t>报告期内超期未履行完毕的承诺事项</w:t>
      </w:r>
    </w:p>
    <w:p w:rsidR="00CA3278" w:rsidRDefault="00CA3278" w:rsidP="00CA3278">
      <w:pPr>
        <w:rPr>
          <w:color w:val="auto"/>
          <w:szCs w:val="21"/>
        </w:rPr>
      </w:pPr>
      <w:r>
        <w:rPr>
          <w:color w:val="auto"/>
          <w:szCs w:val="21"/>
        </w:rPr>
        <w:fldChar w:fldCharType="begin"/>
      </w:r>
      <w:r>
        <w:rPr>
          <w:rFonts w:hint="eastAsia"/>
          <w:color w:val="auto"/>
          <w:szCs w:val="21"/>
        </w:rPr>
        <w:instrText xml:space="preserve"> MACROBUTTON  SnrToggleCheckbox □适用 </w:instrText>
      </w:r>
      <w:r>
        <w:rPr>
          <w:color w:val="auto"/>
          <w:szCs w:val="21"/>
        </w:rPr>
        <w:fldChar w:fldCharType="end"/>
      </w:r>
      <w:r>
        <w:rPr>
          <w:color w:val="auto"/>
          <w:szCs w:val="21"/>
        </w:rPr>
        <w:fldChar w:fldCharType="begin"/>
      </w:r>
      <w:r>
        <w:rPr>
          <w:rFonts w:hint="eastAsia"/>
          <w:color w:val="auto"/>
          <w:szCs w:val="21"/>
        </w:rPr>
        <w:instrText xml:space="preserve"> MACROBUTTON  SnrToggleCheckbox √不适用 </w:instrText>
      </w:r>
      <w:r>
        <w:rPr>
          <w:color w:val="auto"/>
          <w:szCs w:val="21"/>
        </w:rPr>
        <w:fldChar w:fldCharType="end"/>
      </w:r>
    </w:p>
    <w:p w:rsidR="00CA3278" w:rsidRDefault="00CA3278" w:rsidP="00CA3278">
      <w:pPr>
        <w:widowControl w:val="0"/>
        <w:jc w:val="both"/>
        <w:rPr>
          <w:szCs w:val="21"/>
        </w:rPr>
      </w:pPr>
    </w:p>
    <w:p w:rsidR="00CA3278" w:rsidRDefault="00CA3278" w:rsidP="00CA3278">
      <w:pPr>
        <w:pStyle w:val="2"/>
        <w:numPr>
          <w:ilvl w:val="0"/>
          <w:numId w:val="4"/>
        </w:numPr>
        <w:rPr>
          <w:b/>
        </w:rPr>
      </w:pPr>
      <w:r>
        <w:t>预测年初至下</w:t>
      </w:r>
      <w:proofErr w:type="gramStart"/>
      <w:r>
        <w:t>一报告</w:t>
      </w:r>
      <w:proofErr w:type="gramEnd"/>
      <w:r>
        <w:t>期期末的累计净利润可能为亏损或者与上年同期相比发生</w:t>
      </w:r>
      <w:r>
        <w:rPr>
          <w:rFonts w:hint="eastAsia"/>
        </w:rPr>
        <w:t>重大</w:t>
      </w:r>
      <w:r>
        <w:t>变动的警示及原因说明</w:t>
      </w:r>
    </w:p>
    <w:p w:rsidR="00CA3278" w:rsidRDefault="00CA3278" w:rsidP="00CA3278">
      <w:pPr>
        <w:widowControl w:val="0"/>
        <w:jc w:val="both"/>
        <w:rPr>
          <w:color w:val="auto"/>
          <w:szCs w:val="21"/>
        </w:rPr>
      </w:pPr>
      <w:r>
        <w:rPr>
          <w:color w:val="auto"/>
          <w:szCs w:val="21"/>
        </w:rPr>
        <w:fldChar w:fldCharType="begin"/>
      </w:r>
      <w:r>
        <w:rPr>
          <w:rFonts w:hint="eastAsia"/>
          <w:color w:val="auto"/>
          <w:szCs w:val="21"/>
        </w:rPr>
        <w:instrText xml:space="preserve"> MACROBUTTON  SnrToggleCheckbox □适用 </w:instrText>
      </w:r>
      <w:r>
        <w:rPr>
          <w:color w:val="auto"/>
          <w:szCs w:val="21"/>
        </w:rPr>
        <w:fldChar w:fldCharType="end"/>
      </w:r>
      <w:r>
        <w:rPr>
          <w:color w:val="auto"/>
          <w:szCs w:val="21"/>
        </w:rPr>
        <w:fldChar w:fldCharType="begin"/>
      </w:r>
      <w:r>
        <w:rPr>
          <w:rFonts w:hint="eastAsia"/>
          <w:color w:val="auto"/>
          <w:szCs w:val="21"/>
        </w:rPr>
        <w:instrText xml:space="preserve"> MACROBUTTON  SnrToggleCheckbox √不适用 </w:instrText>
      </w:r>
      <w:r>
        <w:rPr>
          <w:color w:val="auto"/>
          <w:szCs w:val="21"/>
        </w:rPr>
        <w:fldChar w:fldCharType="end"/>
      </w:r>
    </w:p>
    <w:p w:rsidR="00CA3278" w:rsidRDefault="00CA3278" w:rsidP="00CA3278">
      <w:pPr>
        <w:rPr>
          <w:color w:val="auto"/>
          <w:szCs w:val="21"/>
        </w:rPr>
      </w:pPr>
      <w:bookmarkStart w:id="7" w:name="OLE_LINK6"/>
    </w:p>
    <w:bookmarkEnd w:id="7"/>
    <w:p w:rsidR="00CA3278" w:rsidRDefault="00CA3278" w:rsidP="00CA3278">
      <w:pPr>
        <w:rPr>
          <w:color w:val="008000"/>
          <w:szCs w:val="21"/>
        </w:rPr>
      </w:pPr>
    </w:p>
    <w:p w:rsidR="00CA3278" w:rsidRDefault="00CA3278" w:rsidP="00CA3278">
      <w:pPr>
        <w:rPr>
          <w:color w:val="008000"/>
          <w:szCs w:val="21"/>
        </w:rPr>
      </w:pPr>
      <w:r>
        <w:rPr>
          <w:rFonts w:hint="eastAsia"/>
          <w:color w:val="008000"/>
          <w:szCs w:val="21"/>
        </w:rPr>
        <w:t xml:space="preserve">                                                             </w:t>
      </w:r>
    </w:p>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849"/>
      </w:tblGrid>
      <w:tr w:rsidR="00CA3278" w:rsidTr="00B76BD6">
        <w:tc>
          <w:tcPr>
            <w:tcW w:w="1350" w:type="dxa"/>
            <w:vAlign w:val="center"/>
          </w:tcPr>
          <w:p w:rsidR="00CA3278" w:rsidRDefault="00CA3278" w:rsidP="00B76BD6">
            <w:pPr>
              <w:jc w:val="right"/>
              <w:rPr>
                <w:color w:val="auto"/>
              </w:rPr>
            </w:pPr>
            <w:r>
              <w:rPr>
                <w:color w:val="auto"/>
              </w:rPr>
              <w:t>公司名称</w:t>
            </w:r>
          </w:p>
        </w:tc>
        <w:tc>
          <w:tcPr>
            <w:tcW w:w="2849" w:type="dxa"/>
          </w:tcPr>
          <w:p w:rsidR="00CA3278" w:rsidRDefault="00CA3278" w:rsidP="00B76BD6">
            <w:pPr>
              <w:rPr>
                <w:color w:val="auto"/>
              </w:rPr>
            </w:pPr>
            <w:r>
              <w:rPr>
                <w:color w:val="auto"/>
              </w:rPr>
              <w:t>钱江水利开发股份有限公司</w:t>
            </w:r>
          </w:p>
        </w:tc>
      </w:tr>
      <w:tr w:rsidR="00CA3278" w:rsidTr="00B76BD6">
        <w:tc>
          <w:tcPr>
            <w:tcW w:w="1350" w:type="dxa"/>
            <w:vAlign w:val="center"/>
          </w:tcPr>
          <w:p w:rsidR="00CA3278" w:rsidRDefault="00CA3278" w:rsidP="00B76BD6">
            <w:pPr>
              <w:jc w:val="right"/>
              <w:rPr>
                <w:color w:val="auto"/>
              </w:rPr>
            </w:pPr>
            <w:r>
              <w:rPr>
                <w:color w:val="auto"/>
              </w:rPr>
              <w:t>法定代表人</w:t>
            </w:r>
          </w:p>
        </w:tc>
        <w:tc>
          <w:tcPr>
            <w:tcW w:w="2849" w:type="dxa"/>
          </w:tcPr>
          <w:p w:rsidR="00CA3278" w:rsidRDefault="00CA3278" w:rsidP="00B76BD6">
            <w:pPr>
              <w:rPr>
                <w:color w:val="auto"/>
              </w:rPr>
            </w:pPr>
            <w:r>
              <w:rPr>
                <w:color w:val="auto"/>
              </w:rPr>
              <w:t>叶建桥</w:t>
            </w:r>
          </w:p>
        </w:tc>
      </w:tr>
      <w:tr w:rsidR="00CA3278" w:rsidTr="00B76BD6">
        <w:tc>
          <w:tcPr>
            <w:tcW w:w="1350" w:type="dxa"/>
            <w:vAlign w:val="center"/>
          </w:tcPr>
          <w:p w:rsidR="00CA3278" w:rsidRDefault="00CA3278" w:rsidP="00B76BD6">
            <w:pPr>
              <w:jc w:val="right"/>
              <w:rPr>
                <w:color w:val="auto"/>
              </w:rPr>
            </w:pPr>
            <w:r>
              <w:rPr>
                <w:color w:val="auto"/>
              </w:rPr>
              <w:t>日期</w:t>
            </w:r>
          </w:p>
        </w:tc>
        <w:tc>
          <w:tcPr>
            <w:tcW w:w="2849" w:type="dxa"/>
          </w:tcPr>
          <w:p w:rsidR="00CA3278" w:rsidRDefault="00CA3278" w:rsidP="00B76BD6">
            <w:pPr>
              <w:rPr>
                <w:color w:val="auto"/>
              </w:rPr>
            </w:pPr>
            <w:r>
              <w:rPr>
                <w:color w:val="auto"/>
              </w:rPr>
              <w:t>2020年10月30日</w:t>
            </w:r>
          </w:p>
        </w:tc>
      </w:tr>
    </w:tbl>
    <w:p w:rsidR="00CA3278" w:rsidRDefault="00CA3278" w:rsidP="00CA3278">
      <w:pPr>
        <w:rPr>
          <w:color w:val="008000"/>
          <w:szCs w:val="21"/>
        </w:rPr>
      </w:pPr>
    </w:p>
    <w:p w:rsidR="00886808" w:rsidRDefault="00886808"/>
    <w:sectPr w:rsidR="00886808" w:rsidSect="000E77BC">
      <w:headerReference w:type="default" r:id="rId7"/>
      <w:footerReference w:type="default" r:id="rId8"/>
      <w:pgSz w:w="11906" w:h="16838"/>
      <w:pgMar w:top="1525" w:right="1276" w:bottom="1440" w:left="1752"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CB5" w:rsidRDefault="006C7CB5" w:rsidP="00CA3278">
      <w:r>
        <w:separator/>
      </w:r>
    </w:p>
  </w:endnote>
  <w:endnote w:type="continuationSeparator" w:id="0">
    <w:p w:rsidR="006C7CB5" w:rsidRDefault="006C7CB5" w:rsidP="00CA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9A2" w:rsidRDefault="00992A89">
    <w:pPr>
      <w:pStyle w:val="a5"/>
      <w:jc w:val="center"/>
    </w:pPr>
    <w:r>
      <w:rPr>
        <w:b/>
        <w:sz w:val="24"/>
        <w:szCs w:val="24"/>
      </w:rPr>
      <w:fldChar w:fldCharType="begin"/>
    </w:r>
    <w:r>
      <w:rPr>
        <w:b/>
      </w:rPr>
      <w:instrText>PAGE</w:instrText>
    </w:r>
    <w:r>
      <w:rPr>
        <w:b/>
        <w:sz w:val="24"/>
        <w:szCs w:val="24"/>
      </w:rPr>
      <w:fldChar w:fldCharType="separate"/>
    </w:r>
    <w:r w:rsidR="009305E1">
      <w:rPr>
        <w:b/>
        <w:noProof/>
      </w:rPr>
      <w:t>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305E1">
      <w:rPr>
        <w:b/>
        <w:noProof/>
      </w:rPr>
      <w:t>7</w:t>
    </w:r>
    <w:r>
      <w:rPr>
        <w:b/>
        <w:sz w:val="24"/>
        <w:szCs w:val="24"/>
      </w:rPr>
      <w:fldChar w:fldCharType="end"/>
    </w:r>
  </w:p>
  <w:p w:rsidR="00BE19A2" w:rsidRDefault="006C7CB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CB5" w:rsidRDefault="006C7CB5" w:rsidP="00CA3278">
      <w:r>
        <w:separator/>
      </w:r>
    </w:p>
  </w:footnote>
  <w:footnote w:type="continuationSeparator" w:id="0">
    <w:p w:rsidR="006C7CB5" w:rsidRDefault="006C7CB5" w:rsidP="00CA32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9A2" w:rsidRPr="00910DBB" w:rsidRDefault="00992A89" w:rsidP="004539FD">
    <w:pPr>
      <w:pStyle w:val="a3"/>
      <w:tabs>
        <w:tab w:val="clear" w:pos="8306"/>
        <w:tab w:val="left" w:pos="8364"/>
        <w:tab w:val="left" w:pos="8505"/>
      </w:tabs>
      <w:ind w:rightChars="10" w:right="21"/>
      <w:rPr>
        <w:b/>
      </w:rPr>
    </w:pPr>
    <w:r>
      <w:rPr>
        <w:rFonts w:ascii="Times New Roman" w:hAnsi="Times New Roman"/>
        <w:b/>
      </w:rPr>
      <w:t>2020</w:t>
    </w:r>
    <w:r>
      <w:rPr>
        <w:rFonts w:hint="eastAsia"/>
        <w:b/>
      </w:rPr>
      <w:t>年第三季度报告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BCD56D2"/>
    <w:multiLevelType w:val="hybridMultilevel"/>
    <w:tmpl w:val="BDF05232"/>
    <w:lvl w:ilvl="0" w:tplc="9808E1D8">
      <w:start w:val="1"/>
      <w:numFmt w:val="decimal"/>
      <w:pStyle w:val="2"/>
      <w:lvlText w:val="1.%1 "/>
      <w:lvlJc w:val="left"/>
      <w:pPr>
        <w:ind w:left="198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304"/>
    <w:rsid w:val="00004C15"/>
    <w:rsid w:val="000161A7"/>
    <w:rsid w:val="000D2019"/>
    <w:rsid w:val="000D217A"/>
    <w:rsid w:val="001B60C6"/>
    <w:rsid w:val="001F192B"/>
    <w:rsid w:val="00292901"/>
    <w:rsid w:val="002A77DE"/>
    <w:rsid w:val="002B6EBB"/>
    <w:rsid w:val="00307624"/>
    <w:rsid w:val="003239D1"/>
    <w:rsid w:val="00342E65"/>
    <w:rsid w:val="00474FD7"/>
    <w:rsid w:val="00480941"/>
    <w:rsid w:val="004D24CD"/>
    <w:rsid w:val="005C184C"/>
    <w:rsid w:val="00626054"/>
    <w:rsid w:val="006665EC"/>
    <w:rsid w:val="00695B25"/>
    <w:rsid w:val="006C39AF"/>
    <w:rsid w:val="006C7CB5"/>
    <w:rsid w:val="00764EC1"/>
    <w:rsid w:val="007C6320"/>
    <w:rsid w:val="00815371"/>
    <w:rsid w:val="008248A4"/>
    <w:rsid w:val="00832E6D"/>
    <w:rsid w:val="0084478D"/>
    <w:rsid w:val="00860FC7"/>
    <w:rsid w:val="00886808"/>
    <w:rsid w:val="008D0B77"/>
    <w:rsid w:val="008D4CDE"/>
    <w:rsid w:val="009305E1"/>
    <w:rsid w:val="00962F07"/>
    <w:rsid w:val="009755B6"/>
    <w:rsid w:val="00987F79"/>
    <w:rsid w:val="00992A89"/>
    <w:rsid w:val="009B5875"/>
    <w:rsid w:val="009D6476"/>
    <w:rsid w:val="009E2304"/>
    <w:rsid w:val="00AB3B35"/>
    <w:rsid w:val="00AD325C"/>
    <w:rsid w:val="00B06783"/>
    <w:rsid w:val="00B71D70"/>
    <w:rsid w:val="00B823BB"/>
    <w:rsid w:val="00BC67A6"/>
    <w:rsid w:val="00BD3A5C"/>
    <w:rsid w:val="00C77B3E"/>
    <w:rsid w:val="00C832BD"/>
    <w:rsid w:val="00CA3278"/>
    <w:rsid w:val="00CF4DF7"/>
    <w:rsid w:val="00D04A11"/>
    <w:rsid w:val="00DC77A6"/>
    <w:rsid w:val="00E46501"/>
    <w:rsid w:val="00E52EA3"/>
    <w:rsid w:val="00EB1DB6"/>
    <w:rsid w:val="00EF233E"/>
    <w:rsid w:val="00EF46DD"/>
    <w:rsid w:val="00F05214"/>
    <w:rsid w:val="00F37792"/>
    <w:rsid w:val="00F60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170B2"/>
  <w15:chartTrackingRefBased/>
  <w15:docId w15:val="{19676985-F220-46AF-97B7-A06E7816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278"/>
    <w:rPr>
      <w:rFonts w:ascii="宋体" w:eastAsia="宋体" w:hAnsi="宋体" w:cs="Times New Roman"/>
      <w:color w:val="000000"/>
      <w:kern w:val="0"/>
      <w:szCs w:val="20"/>
    </w:rPr>
  </w:style>
  <w:style w:type="paragraph" w:styleId="1">
    <w:name w:val="heading 1"/>
    <w:basedOn w:val="a"/>
    <w:next w:val="a"/>
    <w:link w:val="10"/>
    <w:qFormat/>
    <w:rsid w:val="00CA3278"/>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0"/>
    <w:autoRedefine/>
    <w:qFormat/>
    <w:rsid w:val="00CA3278"/>
    <w:pPr>
      <w:keepNext/>
      <w:keepLines/>
      <w:widowControl w:val="0"/>
      <w:numPr>
        <w:numId w:val="2"/>
      </w:numPr>
      <w:tabs>
        <w:tab w:val="left" w:pos="546"/>
      </w:tabs>
      <w:adjustRightInd w:val="0"/>
      <w:spacing w:before="120" w:after="120" w:line="480" w:lineRule="atLeast"/>
      <w:ind w:left="420"/>
      <w:outlineLvl w:val="1"/>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A32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A3278"/>
    <w:rPr>
      <w:sz w:val="18"/>
      <w:szCs w:val="18"/>
    </w:rPr>
  </w:style>
  <w:style w:type="paragraph" w:styleId="a5">
    <w:name w:val="footer"/>
    <w:basedOn w:val="a"/>
    <w:link w:val="a6"/>
    <w:uiPriority w:val="99"/>
    <w:unhideWhenUsed/>
    <w:rsid w:val="00CA3278"/>
    <w:pPr>
      <w:tabs>
        <w:tab w:val="center" w:pos="4153"/>
        <w:tab w:val="right" w:pos="8306"/>
      </w:tabs>
      <w:snapToGrid w:val="0"/>
    </w:pPr>
    <w:rPr>
      <w:sz w:val="18"/>
      <w:szCs w:val="18"/>
    </w:rPr>
  </w:style>
  <w:style w:type="character" w:customStyle="1" w:styleId="a6">
    <w:name w:val="页脚 字符"/>
    <w:basedOn w:val="a0"/>
    <w:link w:val="a5"/>
    <w:uiPriority w:val="99"/>
    <w:rsid w:val="00CA3278"/>
    <w:rPr>
      <w:sz w:val="18"/>
      <w:szCs w:val="18"/>
    </w:rPr>
  </w:style>
  <w:style w:type="character" w:customStyle="1" w:styleId="10">
    <w:name w:val="标题 1 字符"/>
    <w:basedOn w:val="a0"/>
    <w:link w:val="1"/>
    <w:rsid w:val="00CA3278"/>
    <w:rPr>
      <w:rFonts w:ascii="宋体" w:eastAsia="宋体" w:hAnsi="宋体" w:cs="Times New Roman"/>
      <w:b/>
      <w:color w:val="000000"/>
      <w:kern w:val="44"/>
      <w:sz w:val="44"/>
      <w:szCs w:val="20"/>
    </w:rPr>
  </w:style>
  <w:style w:type="character" w:customStyle="1" w:styleId="20">
    <w:name w:val="标题 2 字符"/>
    <w:aliases w:val="标题 2 Char Char Char 字符"/>
    <w:basedOn w:val="a0"/>
    <w:link w:val="2"/>
    <w:rsid w:val="00CA3278"/>
    <w:rPr>
      <w:rFonts w:ascii="宋体" w:eastAsia="宋体" w:hAnsi="宋体"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杨文红</dc:creator>
  <cp:keywords/>
  <dc:description/>
  <cp:lastModifiedBy>杨文红</cp:lastModifiedBy>
  <cp:revision>4</cp:revision>
  <dcterms:created xsi:type="dcterms:W3CDTF">2020-10-26T02:46:00Z</dcterms:created>
  <dcterms:modified xsi:type="dcterms:W3CDTF">2020-10-26T09:03:00Z</dcterms:modified>
</cp:coreProperties>
</file>