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sz w:val="24"/>
        </w:rPr>
        <w:t>证券代码：600283    证券简称：钱江水利    公告编号：临20</w:t>
      </w:r>
      <w:r>
        <w:rPr>
          <w:rFonts w:ascii="宋体" w:hAnsi="宋体"/>
          <w:sz w:val="24"/>
        </w:rPr>
        <w:t>21</w:t>
      </w:r>
      <w:r>
        <w:rPr>
          <w:rFonts w:hint="eastAsia" w:ascii="宋体" w:hAnsi="宋体"/>
          <w:sz w:val="24"/>
        </w:rPr>
        <w:t>-0</w:t>
      </w:r>
      <w:r>
        <w:rPr>
          <w:rFonts w:ascii="宋体" w:hAnsi="宋体"/>
          <w:sz w:val="24"/>
        </w:rPr>
        <w:t>02</w:t>
      </w:r>
    </w:p>
    <w:p>
      <w:pPr>
        <w:pStyle w:val="2"/>
        <w:spacing w:line="440" w:lineRule="exact"/>
        <w:ind w:left="0" w:leftChars="0"/>
        <w:jc w:val="center"/>
        <w:rPr>
          <w:rFonts w:ascii="黑体" w:eastAsia="黑体"/>
          <w:b/>
          <w:color w:val="FF0000"/>
          <w:sz w:val="44"/>
          <w:szCs w:val="44"/>
        </w:rPr>
      </w:pPr>
    </w:p>
    <w:p>
      <w:pPr>
        <w:adjustRightInd w:val="0"/>
        <w:snapToGrid w:val="0"/>
        <w:spacing w:line="360" w:lineRule="auto"/>
        <w:jc w:val="center"/>
        <w:rPr>
          <w:rFonts w:ascii="宋体" w:hAnsi="宋体"/>
          <w:color w:val="FF0000"/>
          <w:sz w:val="32"/>
          <w:szCs w:val="32"/>
        </w:rPr>
      </w:pPr>
      <w:r>
        <w:rPr>
          <w:rFonts w:hint="eastAsia" w:ascii="宋体" w:hAnsi="宋体"/>
          <w:color w:val="FF0000"/>
          <w:sz w:val="32"/>
          <w:szCs w:val="32"/>
        </w:rPr>
        <w:t>钱江水利开发股份有限公司控股子公司</w:t>
      </w:r>
    </w:p>
    <w:p>
      <w:pPr>
        <w:adjustRightInd w:val="0"/>
        <w:snapToGrid w:val="0"/>
        <w:spacing w:line="360" w:lineRule="auto"/>
        <w:jc w:val="center"/>
        <w:rPr>
          <w:rFonts w:ascii="宋体" w:hAnsi="宋体"/>
          <w:color w:val="FF0000"/>
          <w:sz w:val="32"/>
          <w:szCs w:val="32"/>
        </w:rPr>
      </w:pPr>
      <w:r>
        <w:rPr>
          <w:rFonts w:hint="eastAsia" w:ascii="宋体" w:hAnsi="宋体"/>
          <w:color w:val="FF0000"/>
          <w:sz w:val="32"/>
          <w:szCs w:val="32"/>
        </w:rPr>
        <w:t>浙江钱江水利置业投资有限公司关于涉及诉讼的结果公告</w:t>
      </w:r>
    </w:p>
    <w:p>
      <w:pPr>
        <w:pStyle w:val="2"/>
        <w:spacing w:line="440" w:lineRule="exact"/>
        <w:ind w:left="0" w:leftChars="0"/>
        <w:jc w:val="center"/>
        <w:rPr>
          <w:rFonts w:ascii="黑体" w:eastAsia="黑体"/>
          <w:b/>
          <w:color w:val="FF0000"/>
          <w:sz w:val="44"/>
          <w:szCs w:val="44"/>
        </w:rPr>
      </w:pPr>
    </w:p>
    <w:p>
      <w:pPr>
        <w:tabs>
          <w:tab w:val="left" w:pos="1500"/>
        </w:tabs>
        <w:adjustRightInd w:val="0"/>
        <w:snapToGrid w:val="0"/>
        <w:spacing w:line="360" w:lineRule="auto"/>
        <w:ind w:firstLine="480" w:firstLineChars="200"/>
        <w:rPr>
          <w:rFonts w:ascii="宋体" w:hAnsi="宋体"/>
          <w:sz w:val="24"/>
        </w:rPr>
      </w:pPr>
      <w:r>
        <w:rPr>
          <w:rFonts w:hint="eastAsia" w:ascii="宋体" w:hAnsi="宋体"/>
          <w:sz w:val="24"/>
        </w:rPr>
        <w:t>本公司董事会及全体董事保证本公告内容不存在任何虚假记载、误导性陈述或者重大遗漏，并对其内容的真实性、准确性和完整性承担个别及连带责任。</w:t>
      </w:r>
    </w:p>
    <w:p>
      <w:pPr>
        <w:tabs>
          <w:tab w:val="left" w:pos="1500"/>
        </w:tabs>
        <w:adjustRightInd w:val="0"/>
        <w:snapToGrid w:val="0"/>
        <w:spacing w:line="360" w:lineRule="auto"/>
        <w:ind w:firstLine="480" w:firstLineChars="200"/>
        <w:rPr>
          <w:rFonts w:ascii="宋体" w:hAnsi="宋体"/>
          <w:sz w:val="24"/>
        </w:rPr>
      </w:pPr>
      <w:r>
        <w:rPr>
          <w:rFonts w:hint="eastAsia" w:ascii="宋体" w:hAnsi="宋体"/>
          <w:sz w:val="24"/>
        </w:rPr>
        <w:t>公司于2</w:t>
      </w:r>
      <w:r>
        <w:rPr>
          <w:rFonts w:ascii="宋体" w:hAnsi="宋体"/>
          <w:sz w:val="24"/>
        </w:rPr>
        <w:t>020</w:t>
      </w:r>
      <w:r>
        <w:rPr>
          <w:rFonts w:hint="eastAsia" w:ascii="宋体" w:hAnsi="宋体"/>
          <w:sz w:val="24"/>
        </w:rPr>
        <w:t>年6月9日、9月2</w:t>
      </w:r>
      <w:r>
        <w:rPr>
          <w:rFonts w:ascii="宋体" w:hAnsi="宋体"/>
          <w:sz w:val="24"/>
        </w:rPr>
        <w:t>9</w:t>
      </w:r>
      <w:r>
        <w:rPr>
          <w:rFonts w:hint="eastAsia" w:ascii="宋体" w:hAnsi="宋体"/>
          <w:sz w:val="24"/>
        </w:rPr>
        <w:t>日分别披露了《钱江水利开发股份有限公司控股子公司浙江钱江水利置业投资有限公司关于涉及诉讼及进展的公告》（公告临2</w:t>
      </w:r>
      <w:r>
        <w:rPr>
          <w:rFonts w:ascii="宋体" w:hAnsi="宋体"/>
          <w:sz w:val="24"/>
        </w:rPr>
        <w:t>020-018</w:t>
      </w:r>
      <w:r>
        <w:rPr>
          <w:rFonts w:hint="eastAsia" w:ascii="宋体" w:hAnsi="宋体"/>
          <w:sz w:val="24"/>
        </w:rPr>
        <w:t>、</w:t>
      </w:r>
      <w:r>
        <w:rPr>
          <w:rFonts w:ascii="宋体" w:hAnsi="宋体"/>
          <w:sz w:val="24"/>
        </w:rPr>
        <w:t>035</w:t>
      </w:r>
      <w:r>
        <w:rPr>
          <w:rFonts w:hint="eastAsia" w:ascii="宋体" w:hAnsi="宋体"/>
          <w:sz w:val="24"/>
        </w:rPr>
        <w:t>），临安茶场有限公司因不服杭州市临安区人民法院（2</w:t>
      </w:r>
      <w:r>
        <w:rPr>
          <w:rFonts w:ascii="宋体" w:hAnsi="宋体"/>
          <w:sz w:val="24"/>
        </w:rPr>
        <w:t>020</w:t>
      </w:r>
      <w:r>
        <w:rPr>
          <w:rFonts w:hint="eastAsia" w:ascii="宋体" w:hAnsi="宋体"/>
          <w:sz w:val="24"/>
        </w:rPr>
        <w:t>）浙0</w:t>
      </w:r>
      <w:r>
        <w:rPr>
          <w:rFonts w:ascii="宋体" w:hAnsi="宋体"/>
          <w:sz w:val="24"/>
        </w:rPr>
        <w:t>112</w:t>
      </w:r>
      <w:r>
        <w:rPr>
          <w:rFonts w:hint="eastAsia" w:ascii="宋体" w:hAnsi="宋体"/>
          <w:sz w:val="24"/>
        </w:rPr>
        <w:t>民初1</w:t>
      </w:r>
      <w:r>
        <w:rPr>
          <w:rFonts w:ascii="宋体" w:hAnsi="宋体"/>
          <w:sz w:val="24"/>
        </w:rPr>
        <w:t>486</w:t>
      </w:r>
      <w:r>
        <w:rPr>
          <w:rFonts w:hint="eastAsia" w:ascii="宋体" w:hAnsi="宋体"/>
          <w:sz w:val="24"/>
        </w:rPr>
        <w:t>号的民事判决，继续向浙江省杭州市中级人民法院上诉（公告临2</w:t>
      </w:r>
      <w:r>
        <w:rPr>
          <w:rFonts w:ascii="宋体" w:hAnsi="宋体"/>
          <w:sz w:val="24"/>
        </w:rPr>
        <w:t>020-040</w:t>
      </w:r>
      <w:r>
        <w:rPr>
          <w:rFonts w:hint="eastAsia" w:ascii="宋体" w:hAnsi="宋体"/>
          <w:sz w:val="24"/>
        </w:rPr>
        <w:t>）。</w:t>
      </w:r>
    </w:p>
    <w:p>
      <w:pPr>
        <w:tabs>
          <w:tab w:val="left" w:pos="1500"/>
        </w:tabs>
        <w:adjustRightInd w:val="0"/>
        <w:snapToGrid w:val="0"/>
        <w:spacing w:line="360" w:lineRule="auto"/>
        <w:ind w:firstLine="480" w:firstLineChars="200"/>
        <w:rPr>
          <w:rFonts w:ascii="宋体" w:hAnsi="宋体"/>
          <w:sz w:val="24"/>
        </w:rPr>
      </w:pPr>
      <w:r>
        <w:rPr>
          <w:rFonts w:hint="eastAsia" w:ascii="宋体" w:hAnsi="宋体"/>
          <w:sz w:val="24"/>
        </w:rPr>
        <w:t>公司近日接到浙江省杭州市中级人民法院民事判决书（2</w:t>
      </w:r>
      <w:r>
        <w:rPr>
          <w:rFonts w:ascii="宋体" w:hAnsi="宋体"/>
          <w:sz w:val="24"/>
        </w:rPr>
        <w:t>020</w:t>
      </w:r>
      <w:r>
        <w:rPr>
          <w:rFonts w:hint="eastAsia" w:ascii="宋体" w:hAnsi="宋体"/>
          <w:sz w:val="24"/>
        </w:rPr>
        <w:t>）浙0</w:t>
      </w:r>
      <w:r>
        <w:rPr>
          <w:rFonts w:ascii="宋体" w:hAnsi="宋体"/>
          <w:sz w:val="24"/>
        </w:rPr>
        <w:t>1</w:t>
      </w:r>
      <w:r>
        <w:rPr>
          <w:rFonts w:hint="eastAsia" w:ascii="宋体" w:hAnsi="宋体"/>
          <w:sz w:val="24"/>
        </w:rPr>
        <w:t>民终9</w:t>
      </w:r>
      <w:r>
        <w:rPr>
          <w:rFonts w:ascii="宋体" w:hAnsi="宋体"/>
          <w:sz w:val="24"/>
        </w:rPr>
        <w:t>368</w:t>
      </w:r>
      <w:r>
        <w:rPr>
          <w:rFonts w:hint="eastAsia" w:ascii="宋体" w:hAnsi="宋体"/>
          <w:sz w:val="24"/>
        </w:rPr>
        <w:t>号，判决如下：1、驳回原告临安茶场有限公司的诉讼请求，维持原判；2、二审案件受理费8</w:t>
      </w:r>
      <w:r>
        <w:rPr>
          <w:rFonts w:ascii="宋体" w:hAnsi="宋体"/>
          <w:sz w:val="24"/>
        </w:rPr>
        <w:t>8978</w:t>
      </w:r>
      <w:r>
        <w:rPr>
          <w:rFonts w:hint="eastAsia" w:ascii="宋体" w:hAnsi="宋体"/>
          <w:sz w:val="24"/>
        </w:rPr>
        <w:t>元，由原告临安茶场有限公司负担。本判决为终审判决。</w:t>
      </w:r>
    </w:p>
    <w:p>
      <w:pPr>
        <w:tabs>
          <w:tab w:val="left" w:pos="1500"/>
        </w:tabs>
        <w:adjustRightInd w:val="0"/>
        <w:snapToGrid w:val="0"/>
        <w:spacing w:line="360" w:lineRule="auto"/>
        <w:ind w:firstLine="480" w:firstLineChars="200"/>
        <w:rPr>
          <w:rFonts w:ascii="宋体" w:hAnsi="宋体"/>
          <w:sz w:val="24"/>
        </w:rPr>
      </w:pPr>
      <w:r>
        <w:rPr>
          <w:rFonts w:hint="eastAsia" w:ascii="宋体" w:hAnsi="宋体"/>
          <w:sz w:val="24"/>
        </w:rPr>
        <w:t>特此公告。</w:t>
      </w:r>
      <w:bookmarkStart w:id="0" w:name="_GoBack"/>
      <w:bookmarkEnd w:id="0"/>
    </w:p>
    <w:p>
      <w:pPr>
        <w:tabs>
          <w:tab w:val="left" w:pos="1500"/>
        </w:tabs>
        <w:adjustRightInd w:val="0"/>
        <w:snapToGrid w:val="0"/>
        <w:spacing w:line="360" w:lineRule="auto"/>
        <w:rPr>
          <w:rFonts w:ascii="宋体" w:hAnsi="宋体"/>
          <w:sz w:val="24"/>
        </w:rPr>
      </w:pPr>
    </w:p>
    <w:p>
      <w:pPr>
        <w:tabs>
          <w:tab w:val="left" w:pos="1500"/>
        </w:tabs>
        <w:adjustRightInd w:val="0"/>
        <w:snapToGrid w:val="0"/>
        <w:spacing w:line="360" w:lineRule="auto"/>
        <w:rPr>
          <w:rFonts w:ascii="宋体" w:hAnsi="宋体"/>
          <w:sz w:val="24"/>
        </w:rPr>
      </w:pPr>
    </w:p>
    <w:p>
      <w:pPr>
        <w:adjustRightInd w:val="0"/>
        <w:snapToGrid w:val="0"/>
        <w:spacing w:line="360" w:lineRule="auto"/>
        <w:jc w:val="right"/>
        <w:rPr>
          <w:rFonts w:ascii="宋体" w:hAnsi="宋体"/>
          <w:sz w:val="24"/>
        </w:rPr>
      </w:pPr>
      <w:r>
        <w:rPr>
          <w:rFonts w:hint="eastAsia" w:ascii="宋体" w:hAnsi="宋体"/>
          <w:sz w:val="24"/>
        </w:rPr>
        <w:t>钱江水利开发股份有限公司董事会</w:t>
      </w:r>
    </w:p>
    <w:p>
      <w:pPr>
        <w:adjustRightInd w:val="0"/>
        <w:snapToGrid w:val="0"/>
        <w:spacing w:line="360" w:lineRule="auto"/>
        <w:ind w:right="480" w:firstLine="5280" w:firstLineChars="2200"/>
        <w:rPr>
          <w:rFonts w:ascii="宋体" w:hAnsi="宋体"/>
          <w:sz w:val="24"/>
        </w:rPr>
      </w:pPr>
      <w:r>
        <w:rPr>
          <w:rFonts w:hint="eastAsia" w:ascii="宋体" w:hAnsi="宋体"/>
          <w:sz w:val="24"/>
        </w:rPr>
        <w:t>20</w:t>
      </w:r>
      <w:r>
        <w:rPr>
          <w:rFonts w:ascii="宋体" w:hAnsi="宋体"/>
          <w:sz w:val="24"/>
        </w:rPr>
        <w:t>21</w:t>
      </w:r>
      <w:r>
        <w:rPr>
          <w:rFonts w:hint="eastAsia" w:ascii="宋体" w:hAnsi="宋体"/>
          <w:sz w:val="24"/>
        </w:rPr>
        <w:t>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97"/>
    <w:rsid w:val="00004C15"/>
    <w:rsid w:val="000D2019"/>
    <w:rsid w:val="000D217A"/>
    <w:rsid w:val="000E0097"/>
    <w:rsid w:val="001B5D00"/>
    <w:rsid w:val="001B60C6"/>
    <w:rsid w:val="001F192B"/>
    <w:rsid w:val="002639CC"/>
    <w:rsid w:val="00292901"/>
    <w:rsid w:val="002A77DE"/>
    <w:rsid w:val="002B6EBB"/>
    <w:rsid w:val="002F13C2"/>
    <w:rsid w:val="00300D79"/>
    <w:rsid w:val="00307624"/>
    <w:rsid w:val="003239D1"/>
    <w:rsid w:val="00342E65"/>
    <w:rsid w:val="00474FD7"/>
    <w:rsid w:val="00480941"/>
    <w:rsid w:val="004D24CD"/>
    <w:rsid w:val="004E53DC"/>
    <w:rsid w:val="005978D7"/>
    <w:rsid w:val="005C184C"/>
    <w:rsid w:val="005C2AB7"/>
    <w:rsid w:val="005D2366"/>
    <w:rsid w:val="00626054"/>
    <w:rsid w:val="006665EC"/>
    <w:rsid w:val="00695B25"/>
    <w:rsid w:val="006C39AF"/>
    <w:rsid w:val="00764EC1"/>
    <w:rsid w:val="007C6320"/>
    <w:rsid w:val="00807A7A"/>
    <w:rsid w:val="00815371"/>
    <w:rsid w:val="008248A4"/>
    <w:rsid w:val="00832E6D"/>
    <w:rsid w:val="0084478D"/>
    <w:rsid w:val="00860FC7"/>
    <w:rsid w:val="00883F9B"/>
    <w:rsid w:val="008859DA"/>
    <w:rsid w:val="00886808"/>
    <w:rsid w:val="008D0B77"/>
    <w:rsid w:val="008D4CDE"/>
    <w:rsid w:val="008F7075"/>
    <w:rsid w:val="00962F07"/>
    <w:rsid w:val="009755B6"/>
    <w:rsid w:val="00987F79"/>
    <w:rsid w:val="009B5875"/>
    <w:rsid w:val="009C60EC"/>
    <w:rsid w:val="009D6476"/>
    <w:rsid w:val="009E02C2"/>
    <w:rsid w:val="00A15B5B"/>
    <w:rsid w:val="00A242A8"/>
    <w:rsid w:val="00A33D3B"/>
    <w:rsid w:val="00A95FC6"/>
    <w:rsid w:val="00AB3B35"/>
    <w:rsid w:val="00AD325C"/>
    <w:rsid w:val="00B06783"/>
    <w:rsid w:val="00B153C7"/>
    <w:rsid w:val="00B71D70"/>
    <w:rsid w:val="00B823BB"/>
    <w:rsid w:val="00BD3A5C"/>
    <w:rsid w:val="00C77B3E"/>
    <w:rsid w:val="00C832BD"/>
    <w:rsid w:val="00CF4DF7"/>
    <w:rsid w:val="00D04A11"/>
    <w:rsid w:val="00D04E87"/>
    <w:rsid w:val="00DC18F3"/>
    <w:rsid w:val="00DC77A6"/>
    <w:rsid w:val="00E41114"/>
    <w:rsid w:val="00E46501"/>
    <w:rsid w:val="00E52EA3"/>
    <w:rsid w:val="00EB1DB6"/>
    <w:rsid w:val="00EF233E"/>
    <w:rsid w:val="00EF46DD"/>
    <w:rsid w:val="00F05214"/>
    <w:rsid w:val="00F227DC"/>
    <w:rsid w:val="00F37792"/>
    <w:rsid w:val="00F609C6"/>
    <w:rsid w:val="00FE3334"/>
    <w:rsid w:val="2625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qFormat/>
    <w:uiPriority w:val="0"/>
    <w:pPr>
      <w:spacing w:after="120" w:line="480" w:lineRule="auto"/>
      <w:ind w:left="420" w:leftChars="200"/>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2 字符"/>
    <w:basedOn w:val="6"/>
    <w:link w:val="2"/>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398</Characters>
  <Lines>3</Lines>
  <Paragraphs>1</Paragraphs>
  <TotalTime>49</TotalTime>
  <ScaleCrop>false</ScaleCrop>
  <LinksUpToDate>false</LinksUpToDate>
  <CharactersWithSpaces>466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2020-10-26T02:08:00Z</dcterms:created>
  <dc:creator>杨文红</dc:creator>
  <cp:lastModifiedBy>夏目1368512101</cp:lastModifiedBy>
  <dcterms:modified xsi:type="dcterms:W3CDTF">2021-02-01T05:37:12Z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