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7B" w:rsidRDefault="001B547B" w:rsidP="001B547B">
      <w:pPr>
        <w:rPr>
          <w:bCs/>
          <w:color w:val="auto"/>
          <w:szCs w:val="21"/>
        </w:rPr>
      </w:pPr>
      <w:r>
        <w:rPr>
          <w:rFonts w:hint="eastAsia"/>
          <w:bCs/>
          <w:color w:val="auto"/>
          <w:szCs w:val="21"/>
        </w:rPr>
        <w:t xml:space="preserve">公司代码：600283                           </w:t>
      </w:r>
      <w:r>
        <w:rPr>
          <w:bCs/>
          <w:color w:val="auto"/>
          <w:szCs w:val="21"/>
        </w:rPr>
        <w:t xml:space="preserve">                 </w:t>
      </w:r>
      <w:r>
        <w:rPr>
          <w:rFonts w:hint="eastAsia"/>
          <w:bCs/>
          <w:color w:val="auto"/>
          <w:szCs w:val="21"/>
        </w:rPr>
        <w:t>公司简称：钱江水利</w:t>
      </w:r>
    </w:p>
    <w:p w:rsidR="001B547B" w:rsidRDefault="001B547B" w:rsidP="001B547B">
      <w:pPr>
        <w:jc w:val="center"/>
        <w:rPr>
          <w:rFonts w:ascii="黑体" w:eastAsia="黑体" w:hAnsi="黑体"/>
          <w:b/>
          <w:bCs/>
          <w:color w:val="auto"/>
          <w:sz w:val="44"/>
          <w:szCs w:val="44"/>
        </w:rPr>
      </w:pPr>
    </w:p>
    <w:p w:rsidR="001B547B" w:rsidRDefault="001B547B" w:rsidP="001B547B">
      <w:pPr>
        <w:jc w:val="center"/>
        <w:rPr>
          <w:rFonts w:ascii="黑体" w:eastAsia="黑体" w:hAnsi="黑体"/>
          <w:b/>
          <w:bCs/>
          <w:color w:val="auto"/>
          <w:sz w:val="44"/>
          <w:szCs w:val="44"/>
        </w:rPr>
      </w:pPr>
    </w:p>
    <w:p w:rsidR="001B547B" w:rsidRDefault="001B547B" w:rsidP="001B547B">
      <w:pPr>
        <w:jc w:val="center"/>
        <w:rPr>
          <w:rFonts w:ascii="黑体" w:eastAsia="黑体" w:hAnsi="黑体"/>
          <w:b/>
          <w:bCs/>
          <w:color w:val="FF0000"/>
          <w:sz w:val="44"/>
          <w:szCs w:val="44"/>
        </w:rPr>
      </w:pPr>
    </w:p>
    <w:p w:rsidR="001B547B" w:rsidRDefault="001B547B" w:rsidP="001B547B">
      <w:pPr>
        <w:jc w:val="center"/>
        <w:rPr>
          <w:rFonts w:ascii="黑体" w:eastAsia="黑体" w:hAnsi="黑体"/>
          <w:b/>
          <w:bCs/>
          <w:color w:val="FF0000"/>
          <w:sz w:val="44"/>
          <w:szCs w:val="44"/>
        </w:rPr>
      </w:pPr>
    </w:p>
    <w:p w:rsidR="001B547B" w:rsidRDefault="001B547B" w:rsidP="001B547B">
      <w:pPr>
        <w:jc w:val="center"/>
        <w:rPr>
          <w:rFonts w:ascii="黑体" w:eastAsia="黑体" w:hAnsi="黑体"/>
          <w:b/>
          <w:bCs/>
          <w:color w:val="FF0000"/>
          <w:sz w:val="44"/>
          <w:szCs w:val="44"/>
        </w:rPr>
      </w:pPr>
    </w:p>
    <w:p w:rsidR="001B547B" w:rsidRDefault="001B547B" w:rsidP="001B547B">
      <w:pPr>
        <w:jc w:val="center"/>
        <w:rPr>
          <w:rFonts w:ascii="黑体" w:eastAsia="黑体" w:hAnsi="黑体"/>
          <w:b/>
          <w:bCs/>
          <w:color w:val="FF0000"/>
          <w:sz w:val="44"/>
          <w:szCs w:val="44"/>
        </w:rPr>
      </w:pPr>
    </w:p>
    <w:p w:rsidR="001B547B" w:rsidRDefault="001B547B" w:rsidP="001B547B">
      <w:pPr>
        <w:jc w:val="center"/>
        <w:rPr>
          <w:rFonts w:ascii="黑体" w:eastAsia="黑体" w:hAnsi="黑体"/>
          <w:b/>
          <w:bCs/>
          <w:color w:val="FF0000"/>
          <w:sz w:val="44"/>
          <w:szCs w:val="44"/>
        </w:rPr>
      </w:pPr>
    </w:p>
    <w:p w:rsidR="001B547B" w:rsidRDefault="001B547B" w:rsidP="001B547B">
      <w:pPr>
        <w:jc w:val="center"/>
        <w:rPr>
          <w:rFonts w:ascii="黑体" w:eastAsia="黑体" w:hAnsi="黑体"/>
          <w:b/>
          <w:bCs/>
          <w:color w:val="FF0000"/>
          <w:sz w:val="44"/>
          <w:szCs w:val="44"/>
        </w:rPr>
      </w:pPr>
      <w:r>
        <w:rPr>
          <w:rFonts w:ascii="黑体" w:eastAsia="黑体" w:hAnsi="黑体"/>
          <w:b/>
          <w:bCs/>
          <w:color w:val="auto"/>
          <w:sz w:val="32"/>
          <w:szCs w:val="32"/>
        </w:rPr>
        <w:t>钱江水利开发股份有限公司</w:t>
      </w:r>
    </w:p>
    <w:p w:rsidR="001B547B" w:rsidRDefault="001B547B" w:rsidP="001B547B">
      <w:pPr>
        <w:jc w:val="center"/>
        <w:rPr>
          <w:rFonts w:ascii="黑体" w:eastAsia="黑体" w:hAnsi="黑体"/>
          <w:b/>
          <w:bCs/>
          <w:color w:val="auto"/>
          <w:sz w:val="32"/>
          <w:szCs w:val="32"/>
        </w:rPr>
      </w:pPr>
      <w:r>
        <w:rPr>
          <w:rFonts w:ascii="黑体" w:eastAsia="黑体" w:hAnsi="黑体"/>
          <w:b/>
          <w:bCs/>
          <w:color w:val="auto"/>
          <w:sz w:val="32"/>
          <w:szCs w:val="32"/>
        </w:rPr>
        <w:t>2021年第</w:t>
      </w:r>
      <w:r>
        <w:rPr>
          <w:rFonts w:ascii="黑体" w:eastAsia="黑体" w:hAnsi="黑体" w:hint="eastAsia"/>
          <w:b/>
          <w:bCs/>
          <w:color w:val="auto"/>
          <w:sz w:val="32"/>
          <w:szCs w:val="32"/>
        </w:rPr>
        <w:t>一</w:t>
      </w:r>
      <w:r>
        <w:rPr>
          <w:rFonts w:ascii="黑体" w:eastAsia="黑体" w:hAnsi="黑体"/>
          <w:b/>
          <w:bCs/>
          <w:color w:val="auto"/>
          <w:sz w:val="32"/>
          <w:szCs w:val="32"/>
        </w:rPr>
        <w:t>季度报告</w:t>
      </w:r>
      <w:r>
        <w:rPr>
          <w:rFonts w:ascii="黑体" w:eastAsia="黑体" w:hAnsi="黑体" w:hint="eastAsia"/>
          <w:b/>
          <w:bCs/>
          <w:color w:val="auto"/>
          <w:sz w:val="32"/>
          <w:szCs w:val="32"/>
        </w:rPr>
        <w:t>正文</w:t>
      </w:r>
    </w:p>
    <w:p w:rsidR="001B547B" w:rsidRDefault="001B547B" w:rsidP="001B547B">
      <w:pPr>
        <w:rPr>
          <w:rFonts w:ascii="Times New Roman" w:hAnsi="Times New Roman"/>
          <w:b/>
          <w:bCs/>
        </w:rPr>
        <w:sectPr w:rsidR="001B547B" w:rsidSect="00667FCF">
          <w:headerReference w:type="default" r:id="rId7"/>
          <w:footerReference w:type="default" r:id="rId8"/>
          <w:pgSz w:w="11906" w:h="16838" w:code="9"/>
          <w:pgMar w:top="1525" w:right="1276" w:bottom="1440" w:left="1797" w:header="851" w:footer="992" w:gutter="0"/>
          <w:cols w:space="425"/>
          <w:docGrid w:type="lines" w:linePitch="312"/>
        </w:sectPr>
      </w:pPr>
    </w:p>
    <w:p w:rsidR="001B547B" w:rsidRDefault="001B547B" w:rsidP="001B547B">
      <w:pPr>
        <w:pStyle w:val="1"/>
        <w:numPr>
          <w:ilvl w:val="0"/>
          <w:numId w:val="1"/>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p w:rsidR="001B547B" w:rsidRDefault="001B547B" w:rsidP="001B547B">
      <w:pPr>
        <w:pStyle w:val="2"/>
        <w:rPr>
          <w:b/>
        </w:rPr>
      </w:pPr>
      <w:r>
        <w:t>公司董事会、监事会及董事、监事、高级管理人员保证季度报告内容的真实、准确、完整，不存在虚假记载、误导性陈述或者重大遗漏，并承担个别和连带的法律责任。</w:t>
      </w:r>
    </w:p>
    <w:p w:rsidR="001B547B" w:rsidRDefault="001B547B" w:rsidP="001B547B">
      <w:pPr>
        <w:rPr>
          <w:color w:val="auto"/>
          <w:szCs w:val="21"/>
        </w:rPr>
      </w:pPr>
    </w:p>
    <w:p w:rsidR="001B547B" w:rsidRDefault="001B547B" w:rsidP="001B547B">
      <w:pPr>
        <w:pStyle w:val="2"/>
        <w:spacing w:line="240" w:lineRule="auto"/>
      </w:pPr>
      <w:r>
        <w:rPr>
          <w:rFonts w:hint="eastAsia"/>
        </w:rPr>
        <w:t>公司全体董事出席董事会审议季度报告。</w:t>
      </w:r>
    </w:p>
    <w:p w:rsidR="001B547B" w:rsidRDefault="001B547B" w:rsidP="001B547B"/>
    <w:p w:rsidR="001B547B" w:rsidRDefault="001B547B" w:rsidP="001B547B">
      <w:pPr>
        <w:pStyle w:val="2"/>
        <w:spacing w:before="0" w:after="0" w:line="240" w:lineRule="auto"/>
      </w:pPr>
      <w:r>
        <w:t>公司负责人</w:t>
      </w:r>
      <w:r>
        <w:rPr>
          <w:rFonts w:hint="eastAsia"/>
        </w:rPr>
        <w:t>叶建桥先生、</w:t>
      </w:r>
      <w:r>
        <w:t>主管会计工作负责人</w:t>
      </w:r>
      <w:r>
        <w:rPr>
          <w:rFonts w:hint="eastAsia"/>
        </w:rPr>
        <w:t>何刚信先生</w:t>
      </w:r>
      <w:r>
        <w:t>及会计机构负责人</w:t>
      </w:r>
      <w:r>
        <w:rPr>
          <w:rFonts w:hint="eastAsia"/>
        </w:rPr>
        <w:t>彭伟军先生</w:t>
      </w:r>
      <w:r>
        <w:t>保证季度报告中财务报</w:t>
      </w:r>
      <w:r>
        <w:rPr>
          <w:rFonts w:hint="eastAsia"/>
        </w:rPr>
        <w:t>表</w:t>
      </w:r>
      <w:r>
        <w:t>的真实、</w:t>
      </w:r>
      <w:r>
        <w:rPr>
          <w:rFonts w:hint="eastAsia"/>
        </w:rPr>
        <w:t>准确、</w:t>
      </w:r>
      <w:r>
        <w:t>完整。</w:t>
      </w:r>
    </w:p>
    <w:p w:rsidR="001B547B" w:rsidRDefault="001B547B" w:rsidP="001B547B"/>
    <w:p w:rsidR="001B547B" w:rsidRDefault="001B547B" w:rsidP="001B547B">
      <w:pPr>
        <w:pStyle w:val="2"/>
        <w:spacing w:line="240" w:lineRule="auto"/>
      </w:pPr>
      <w:r>
        <w:rPr>
          <w:rFonts w:hint="eastAsia"/>
        </w:rPr>
        <w:t>本公司第一季度报告未经审计。</w:t>
      </w:r>
    </w:p>
    <w:p w:rsidR="001B547B" w:rsidRDefault="001B547B" w:rsidP="001B547B">
      <w:pPr>
        <w:ind w:rightChars="-28" w:right="-59"/>
        <w:rPr>
          <w:color w:val="auto"/>
          <w:szCs w:val="21"/>
        </w:rPr>
      </w:pPr>
    </w:p>
    <w:p w:rsidR="001B547B" w:rsidRDefault="001B547B" w:rsidP="001B547B">
      <w:pPr>
        <w:pStyle w:val="1"/>
        <w:numPr>
          <w:ilvl w:val="0"/>
          <w:numId w:val="1"/>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1B547B" w:rsidRDefault="001B547B" w:rsidP="001B547B">
      <w:pPr>
        <w:pStyle w:val="2"/>
        <w:numPr>
          <w:ilvl w:val="0"/>
          <w:numId w:val="3"/>
        </w:numPr>
        <w:spacing w:line="240" w:lineRule="auto"/>
        <w:rPr>
          <w:b/>
        </w:rPr>
      </w:pPr>
      <w:r>
        <w:t>主要财务数据</w:t>
      </w:r>
    </w:p>
    <w:p w:rsidR="001B547B" w:rsidRDefault="001B547B" w:rsidP="001B547B">
      <w:pPr>
        <w:widowControl w:val="0"/>
        <w:jc w:val="right"/>
        <w:rPr>
          <w:color w:val="auto"/>
          <w:szCs w:val="21"/>
        </w:rPr>
      </w:pPr>
      <w:r>
        <w:rPr>
          <w:rFonts w:hint="eastAsia"/>
          <w:color w:val="auto"/>
          <w:szCs w:val="21"/>
        </w:rPr>
        <w:t>单位：元</w:t>
      </w:r>
      <w:r>
        <w:rPr>
          <w:color w:val="auto"/>
          <w:szCs w:val="21"/>
        </w:rPr>
        <w:t xml:space="preserve">  币种</w:t>
      </w:r>
      <w:r>
        <w:rPr>
          <w:rFonts w:hint="eastAsia"/>
          <w:color w:val="auto"/>
          <w:szCs w:val="21"/>
        </w:rPr>
        <w:t>：人民币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061"/>
        <w:gridCol w:w="2695"/>
        <w:gridCol w:w="2165"/>
      </w:tblGrid>
      <w:tr w:rsidR="001B547B" w:rsidTr="00792E17">
        <w:trPr>
          <w:trHeight w:val="315"/>
        </w:trPr>
        <w:tc>
          <w:tcPr>
            <w:tcW w:w="1078" w:type="pct"/>
            <w:shd w:val="clear" w:color="auto" w:fill="auto"/>
            <w:vAlign w:val="center"/>
          </w:tcPr>
          <w:p w:rsidR="001B547B" w:rsidRDefault="001B547B" w:rsidP="00864ACB">
            <w:pPr>
              <w:jc w:val="center"/>
              <w:rPr>
                <w:szCs w:val="21"/>
              </w:rPr>
            </w:pPr>
          </w:p>
        </w:tc>
        <w:tc>
          <w:tcPr>
            <w:tcW w:w="1168" w:type="pct"/>
            <w:vAlign w:val="center"/>
          </w:tcPr>
          <w:p w:rsidR="001B547B" w:rsidRDefault="001B547B" w:rsidP="00864ACB">
            <w:pPr>
              <w:jc w:val="center"/>
              <w:rPr>
                <w:szCs w:val="21"/>
              </w:rPr>
            </w:pPr>
            <w:r>
              <w:rPr>
                <w:szCs w:val="21"/>
              </w:rPr>
              <w:t>本报告期末</w:t>
            </w:r>
          </w:p>
        </w:tc>
        <w:tc>
          <w:tcPr>
            <w:tcW w:w="1527" w:type="pct"/>
            <w:shd w:val="clear" w:color="auto" w:fill="auto"/>
            <w:vAlign w:val="center"/>
          </w:tcPr>
          <w:p w:rsidR="001B547B" w:rsidRDefault="001B547B" w:rsidP="00864ACB">
            <w:pPr>
              <w:jc w:val="center"/>
              <w:rPr>
                <w:szCs w:val="21"/>
              </w:rPr>
            </w:pPr>
            <w:r>
              <w:rPr>
                <w:szCs w:val="21"/>
              </w:rPr>
              <w:t>上年度末</w:t>
            </w:r>
          </w:p>
        </w:tc>
        <w:tc>
          <w:tcPr>
            <w:tcW w:w="1227" w:type="pct"/>
            <w:shd w:val="clear" w:color="auto" w:fill="auto"/>
            <w:vAlign w:val="center"/>
          </w:tcPr>
          <w:p w:rsidR="001B547B" w:rsidRDefault="001B547B" w:rsidP="00864ACB">
            <w:pPr>
              <w:jc w:val="center"/>
              <w:rPr>
                <w:szCs w:val="21"/>
              </w:rPr>
            </w:pPr>
            <w:r>
              <w:rPr>
                <w:szCs w:val="21"/>
              </w:rPr>
              <w:t>本报告期末比上年度末增减(%)</w:t>
            </w:r>
          </w:p>
        </w:tc>
      </w:tr>
      <w:tr w:rsidR="001B547B" w:rsidTr="00792E17">
        <w:tc>
          <w:tcPr>
            <w:tcW w:w="1078" w:type="pct"/>
            <w:shd w:val="clear" w:color="auto" w:fill="auto"/>
          </w:tcPr>
          <w:p w:rsidR="001B547B" w:rsidRDefault="001B547B" w:rsidP="00864ACB">
            <w:pPr>
              <w:rPr>
                <w:szCs w:val="21"/>
              </w:rPr>
            </w:pPr>
            <w:r>
              <w:rPr>
                <w:szCs w:val="21"/>
              </w:rPr>
              <w:t>总资产</w:t>
            </w:r>
          </w:p>
        </w:tc>
        <w:tc>
          <w:tcPr>
            <w:tcW w:w="1168" w:type="pct"/>
          </w:tcPr>
          <w:p w:rsidR="001B547B" w:rsidRDefault="001B547B" w:rsidP="00864ACB">
            <w:pPr>
              <w:jc w:val="right"/>
              <w:rPr>
                <w:szCs w:val="21"/>
              </w:rPr>
            </w:pPr>
            <w:r>
              <w:t>5,937,615,606.10</w:t>
            </w:r>
          </w:p>
        </w:tc>
        <w:tc>
          <w:tcPr>
            <w:tcW w:w="1527" w:type="pct"/>
            <w:shd w:val="clear" w:color="auto" w:fill="auto"/>
          </w:tcPr>
          <w:p w:rsidR="001B547B" w:rsidRDefault="001B547B" w:rsidP="00864ACB">
            <w:pPr>
              <w:jc w:val="right"/>
              <w:rPr>
                <w:szCs w:val="21"/>
              </w:rPr>
            </w:pPr>
            <w:r>
              <w:t>5,755,848,121.57</w:t>
            </w:r>
          </w:p>
        </w:tc>
        <w:tc>
          <w:tcPr>
            <w:tcW w:w="1227" w:type="pct"/>
            <w:shd w:val="clear" w:color="auto" w:fill="auto"/>
          </w:tcPr>
          <w:p w:rsidR="001B547B" w:rsidRDefault="001B547B" w:rsidP="00864ACB">
            <w:pPr>
              <w:jc w:val="right"/>
              <w:rPr>
                <w:szCs w:val="21"/>
              </w:rPr>
            </w:pPr>
            <w:r>
              <w:t>3.16</w:t>
            </w:r>
          </w:p>
        </w:tc>
      </w:tr>
      <w:tr w:rsidR="001B547B" w:rsidTr="00792E17">
        <w:tc>
          <w:tcPr>
            <w:tcW w:w="1078" w:type="pct"/>
            <w:shd w:val="clear" w:color="auto" w:fill="auto"/>
          </w:tcPr>
          <w:p w:rsidR="001B547B" w:rsidRDefault="001B547B" w:rsidP="00864ACB">
            <w:pPr>
              <w:rPr>
                <w:szCs w:val="21"/>
              </w:rPr>
            </w:pPr>
            <w:r>
              <w:rPr>
                <w:rFonts w:hint="eastAsia"/>
                <w:szCs w:val="21"/>
              </w:rPr>
              <w:t>归属于上市公司股东的净资产</w:t>
            </w:r>
          </w:p>
        </w:tc>
        <w:tc>
          <w:tcPr>
            <w:tcW w:w="1168" w:type="pct"/>
          </w:tcPr>
          <w:p w:rsidR="001B547B" w:rsidRDefault="001B547B" w:rsidP="00864ACB">
            <w:pPr>
              <w:jc w:val="right"/>
              <w:rPr>
                <w:szCs w:val="21"/>
              </w:rPr>
            </w:pPr>
            <w:r>
              <w:t>2,022,452,706.09</w:t>
            </w:r>
          </w:p>
        </w:tc>
        <w:tc>
          <w:tcPr>
            <w:tcW w:w="1527" w:type="pct"/>
            <w:shd w:val="clear" w:color="auto" w:fill="auto"/>
          </w:tcPr>
          <w:p w:rsidR="001B547B" w:rsidRDefault="001B547B" w:rsidP="00864ACB">
            <w:pPr>
              <w:jc w:val="right"/>
              <w:rPr>
                <w:szCs w:val="21"/>
              </w:rPr>
            </w:pPr>
            <w:r>
              <w:t>1,984,199,581.19</w:t>
            </w:r>
          </w:p>
        </w:tc>
        <w:tc>
          <w:tcPr>
            <w:tcW w:w="1227" w:type="pct"/>
            <w:shd w:val="clear" w:color="auto" w:fill="auto"/>
          </w:tcPr>
          <w:p w:rsidR="001B547B" w:rsidRDefault="001B547B" w:rsidP="00864ACB">
            <w:pPr>
              <w:jc w:val="right"/>
              <w:rPr>
                <w:szCs w:val="21"/>
              </w:rPr>
            </w:pPr>
            <w:r>
              <w:t>1.93</w:t>
            </w:r>
          </w:p>
        </w:tc>
      </w:tr>
      <w:tr w:rsidR="001B547B" w:rsidTr="00792E17">
        <w:trPr>
          <w:trHeight w:val="273"/>
        </w:trPr>
        <w:tc>
          <w:tcPr>
            <w:tcW w:w="1078" w:type="pct"/>
            <w:shd w:val="clear" w:color="auto" w:fill="auto"/>
          </w:tcPr>
          <w:p w:rsidR="001B547B" w:rsidRDefault="001B547B" w:rsidP="00864ACB">
            <w:pPr>
              <w:rPr>
                <w:szCs w:val="21"/>
              </w:rPr>
            </w:pPr>
          </w:p>
        </w:tc>
        <w:tc>
          <w:tcPr>
            <w:tcW w:w="1168" w:type="pct"/>
            <w:shd w:val="clear" w:color="auto" w:fill="auto"/>
          </w:tcPr>
          <w:p w:rsidR="001B547B" w:rsidRDefault="001B547B" w:rsidP="00864ACB">
            <w:pPr>
              <w:jc w:val="center"/>
              <w:rPr>
                <w:szCs w:val="21"/>
              </w:rPr>
            </w:pPr>
            <w:r>
              <w:rPr>
                <w:szCs w:val="21"/>
              </w:rPr>
              <w:t>年初</w:t>
            </w:r>
            <w:proofErr w:type="gramStart"/>
            <w:r>
              <w:rPr>
                <w:szCs w:val="21"/>
              </w:rPr>
              <w:t>至报告</w:t>
            </w:r>
            <w:proofErr w:type="gramEnd"/>
            <w:r>
              <w:rPr>
                <w:szCs w:val="21"/>
              </w:rPr>
              <w:t>期末</w:t>
            </w:r>
          </w:p>
        </w:tc>
        <w:tc>
          <w:tcPr>
            <w:tcW w:w="1527" w:type="pct"/>
            <w:shd w:val="clear" w:color="auto" w:fill="auto"/>
          </w:tcPr>
          <w:p w:rsidR="001B547B" w:rsidRDefault="001B547B" w:rsidP="00864ACB">
            <w:pPr>
              <w:jc w:val="center"/>
              <w:rPr>
                <w:szCs w:val="21"/>
              </w:rPr>
            </w:pPr>
            <w:r>
              <w:rPr>
                <w:szCs w:val="21"/>
              </w:rPr>
              <w:t>上年初至上年报告期末</w:t>
            </w:r>
          </w:p>
        </w:tc>
        <w:tc>
          <w:tcPr>
            <w:tcW w:w="1227" w:type="pct"/>
            <w:shd w:val="clear" w:color="auto" w:fill="auto"/>
            <w:vAlign w:val="center"/>
          </w:tcPr>
          <w:p w:rsidR="001B547B" w:rsidRDefault="001B547B" w:rsidP="00864ACB">
            <w:pPr>
              <w:jc w:val="center"/>
              <w:rPr>
                <w:szCs w:val="21"/>
              </w:rPr>
            </w:pPr>
            <w:r>
              <w:rPr>
                <w:szCs w:val="21"/>
              </w:rPr>
              <w:t>比上年同期增减(%)</w:t>
            </w:r>
          </w:p>
        </w:tc>
      </w:tr>
      <w:tr w:rsidR="001B547B" w:rsidTr="00792E17">
        <w:tc>
          <w:tcPr>
            <w:tcW w:w="1078" w:type="pct"/>
            <w:shd w:val="clear" w:color="auto" w:fill="auto"/>
          </w:tcPr>
          <w:p w:rsidR="001B547B" w:rsidRDefault="001B547B" w:rsidP="00864ACB">
            <w:pPr>
              <w:rPr>
                <w:szCs w:val="21"/>
              </w:rPr>
            </w:pPr>
            <w:r>
              <w:rPr>
                <w:szCs w:val="21"/>
              </w:rPr>
              <w:t>经营活动产生的现金流量净额</w:t>
            </w:r>
          </w:p>
        </w:tc>
        <w:tc>
          <w:tcPr>
            <w:tcW w:w="1168" w:type="pct"/>
            <w:shd w:val="clear" w:color="auto" w:fill="auto"/>
          </w:tcPr>
          <w:p w:rsidR="001B547B" w:rsidRDefault="001B547B" w:rsidP="00864ACB">
            <w:pPr>
              <w:jc w:val="right"/>
              <w:rPr>
                <w:szCs w:val="21"/>
              </w:rPr>
            </w:pPr>
            <w:r>
              <w:t>60,210,779.07</w:t>
            </w:r>
          </w:p>
        </w:tc>
        <w:tc>
          <w:tcPr>
            <w:tcW w:w="1527" w:type="pct"/>
            <w:shd w:val="clear" w:color="auto" w:fill="auto"/>
          </w:tcPr>
          <w:p w:rsidR="001B547B" w:rsidRDefault="001B547B" w:rsidP="00864ACB">
            <w:pPr>
              <w:jc w:val="right"/>
              <w:rPr>
                <w:szCs w:val="21"/>
              </w:rPr>
            </w:pPr>
            <w:r>
              <w:t>40,283,448.39</w:t>
            </w:r>
          </w:p>
        </w:tc>
        <w:tc>
          <w:tcPr>
            <w:tcW w:w="1227" w:type="pct"/>
            <w:shd w:val="clear" w:color="auto" w:fill="auto"/>
          </w:tcPr>
          <w:p w:rsidR="001B547B" w:rsidRDefault="001B547B" w:rsidP="00864ACB">
            <w:pPr>
              <w:jc w:val="right"/>
              <w:rPr>
                <w:szCs w:val="21"/>
              </w:rPr>
            </w:pPr>
            <w:r>
              <w:t>49.47</w:t>
            </w:r>
          </w:p>
        </w:tc>
      </w:tr>
      <w:tr w:rsidR="001B547B" w:rsidTr="00792E17">
        <w:trPr>
          <w:trHeight w:val="316"/>
        </w:trPr>
        <w:tc>
          <w:tcPr>
            <w:tcW w:w="1078" w:type="pct"/>
            <w:shd w:val="clear" w:color="auto" w:fill="auto"/>
          </w:tcPr>
          <w:p w:rsidR="001B547B" w:rsidRDefault="001B547B" w:rsidP="00864ACB">
            <w:pPr>
              <w:rPr>
                <w:szCs w:val="21"/>
              </w:rPr>
            </w:pPr>
          </w:p>
        </w:tc>
        <w:tc>
          <w:tcPr>
            <w:tcW w:w="1168" w:type="pct"/>
            <w:shd w:val="clear" w:color="auto" w:fill="auto"/>
          </w:tcPr>
          <w:p w:rsidR="001B547B" w:rsidRDefault="001B547B" w:rsidP="00864ACB">
            <w:pPr>
              <w:jc w:val="center"/>
              <w:rPr>
                <w:szCs w:val="21"/>
              </w:rPr>
            </w:pPr>
            <w:r>
              <w:rPr>
                <w:szCs w:val="21"/>
              </w:rPr>
              <w:t>年初</w:t>
            </w:r>
            <w:proofErr w:type="gramStart"/>
            <w:r>
              <w:rPr>
                <w:szCs w:val="21"/>
              </w:rPr>
              <w:t>至报告</w:t>
            </w:r>
            <w:proofErr w:type="gramEnd"/>
            <w:r>
              <w:rPr>
                <w:szCs w:val="21"/>
              </w:rPr>
              <w:t>期末</w:t>
            </w:r>
          </w:p>
        </w:tc>
        <w:tc>
          <w:tcPr>
            <w:tcW w:w="1527" w:type="pct"/>
            <w:shd w:val="clear" w:color="auto" w:fill="auto"/>
          </w:tcPr>
          <w:p w:rsidR="001B547B" w:rsidRDefault="001B547B" w:rsidP="00864ACB">
            <w:pPr>
              <w:jc w:val="center"/>
              <w:rPr>
                <w:szCs w:val="21"/>
              </w:rPr>
            </w:pPr>
            <w:r>
              <w:rPr>
                <w:szCs w:val="21"/>
              </w:rPr>
              <w:t>上年初至上年报告期末</w:t>
            </w:r>
          </w:p>
        </w:tc>
        <w:tc>
          <w:tcPr>
            <w:tcW w:w="1227" w:type="pct"/>
            <w:shd w:val="clear" w:color="auto" w:fill="auto"/>
            <w:vAlign w:val="center"/>
          </w:tcPr>
          <w:p w:rsidR="001B547B" w:rsidRDefault="001B547B" w:rsidP="00864ACB">
            <w:pPr>
              <w:jc w:val="center"/>
              <w:rPr>
                <w:szCs w:val="21"/>
              </w:rPr>
            </w:pPr>
            <w:r>
              <w:rPr>
                <w:szCs w:val="21"/>
              </w:rPr>
              <w:t>比上年同期增减（</w:t>
            </w:r>
            <w:r>
              <w:rPr>
                <w:rFonts w:hint="eastAsia"/>
                <w:szCs w:val="21"/>
              </w:rPr>
              <w:t>%</w:t>
            </w:r>
            <w:r>
              <w:rPr>
                <w:szCs w:val="21"/>
              </w:rPr>
              <w:t>）</w:t>
            </w:r>
          </w:p>
        </w:tc>
      </w:tr>
      <w:tr w:rsidR="001B547B" w:rsidTr="00792E17">
        <w:tc>
          <w:tcPr>
            <w:tcW w:w="1078" w:type="pct"/>
            <w:shd w:val="clear" w:color="auto" w:fill="auto"/>
          </w:tcPr>
          <w:p w:rsidR="001B547B" w:rsidRDefault="001B547B" w:rsidP="00864ACB">
            <w:pPr>
              <w:kinsoku w:val="0"/>
              <w:overflowPunct w:val="0"/>
              <w:autoSpaceDE w:val="0"/>
              <w:autoSpaceDN w:val="0"/>
              <w:adjustRightInd w:val="0"/>
              <w:snapToGrid w:val="0"/>
              <w:rPr>
                <w:szCs w:val="21"/>
              </w:rPr>
            </w:pPr>
            <w:r>
              <w:rPr>
                <w:szCs w:val="21"/>
              </w:rPr>
              <w:t>营业收入</w:t>
            </w:r>
          </w:p>
        </w:tc>
        <w:tc>
          <w:tcPr>
            <w:tcW w:w="1168" w:type="pct"/>
            <w:shd w:val="clear" w:color="auto" w:fill="auto"/>
          </w:tcPr>
          <w:p w:rsidR="001B547B" w:rsidRDefault="001B547B" w:rsidP="00864ACB">
            <w:pPr>
              <w:jc w:val="right"/>
              <w:rPr>
                <w:szCs w:val="21"/>
              </w:rPr>
            </w:pPr>
            <w:r>
              <w:t>308,644,396.11</w:t>
            </w:r>
          </w:p>
        </w:tc>
        <w:tc>
          <w:tcPr>
            <w:tcW w:w="1527" w:type="pct"/>
            <w:shd w:val="clear" w:color="auto" w:fill="auto"/>
          </w:tcPr>
          <w:p w:rsidR="001B547B" w:rsidRDefault="001B547B" w:rsidP="00864ACB">
            <w:pPr>
              <w:jc w:val="right"/>
              <w:rPr>
                <w:szCs w:val="21"/>
              </w:rPr>
            </w:pPr>
            <w:r>
              <w:t>275,253,326.92</w:t>
            </w:r>
          </w:p>
        </w:tc>
        <w:tc>
          <w:tcPr>
            <w:tcW w:w="1227" w:type="pct"/>
            <w:shd w:val="clear" w:color="auto" w:fill="auto"/>
          </w:tcPr>
          <w:p w:rsidR="001B547B" w:rsidRDefault="001B547B" w:rsidP="00864ACB">
            <w:pPr>
              <w:jc w:val="right"/>
              <w:rPr>
                <w:szCs w:val="21"/>
              </w:rPr>
            </w:pPr>
            <w:r>
              <w:t>12.13</w:t>
            </w:r>
          </w:p>
        </w:tc>
      </w:tr>
      <w:tr w:rsidR="001B547B" w:rsidTr="00792E17">
        <w:tc>
          <w:tcPr>
            <w:tcW w:w="1078" w:type="pct"/>
            <w:shd w:val="clear" w:color="auto" w:fill="auto"/>
          </w:tcPr>
          <w:p w:rsidR="001B547B" w:rsidRDefault="001B547B" w:rsidP="00864ACB">
            <w:pPr>
              <w:rPr>
                <w:szCs w:val="21"/>
              </w:rPr>
            </w:pPr>
            <w:r>
              <w:rPr>
                <w:szCs w:val="21"/>
              </w:rPr>
              <w:t>归属于上市公司股东的净利润</w:t>
            </w:r>
          </w:p>
        </w:tc>
        <w:tc>
          <w:tcPr>
            <w:tcW w:w="1168" w:type="pct"/>
            <w:shd w:val="clear" w:color="auto" w:fill="auto"/>
          </w:tcPr>
          <w:p w:rsidR="001B547B" w:rsidRDefault="001B547B" w:rsidP="00864ACB">
            <w:pPr>
              <w:jc w:val="right"/>
              <w:rPr>
                <w:szCs w:val="21"/>
              </w:rPr>
            </w:pPr>
            <w:r>
              <w:t>38,944,787.07</w:t>
            </w:r>
          </w:p>
        </w:tc>
        <w:tc>
          <w:tcPr>
            <w:tcW w:w="1527" w:type="pct"/>
            <w:shd w:val="clear" w:color="auto" w:fill="auto"/>
          </w:tcPr>
          <w:p w:rsidR="001B547B" w:rsidRDefault="001B547B" w:rsidP="00864ACB">
            <w:pPr>
              <w:jc w:val="right"/>
              <w:rPr>
                <w:szCs w:val="21"/>
              </w:rPr>
            </w:pPr>
            <w:r>
              <w:t>12,263,310.68</w:t>
            </w:r>
          </w:p>
        </w:tc>
        <w:tc>
          <w:tcPr>
            <w:tcW w:w="1227" w:type="pct"/>
            <w:shd w:val="clear" w:color="auto" w:fill="auto"/>
          </w:tcPr>
          <w:p w:rsidR="001B547B" w:rsidRDefault="001B547B" w:rsidP="00864ACB">
            <w:pPr>
              <w:jc w:val="right"/>
              <w:rPr>
                <w:szCs w:val="21"/>
              </w:rPr>
            </w:pPr>
            <w:r>
              <w:t>217.57</w:t>
            </w:r>
          </w:p>
        </w:tc>
      </w:tr>
      <w:tr w:rsidR="001B547B" w:rsidTr="00792E17">
        <w:tc>
          <w:tcPr>
            <w:tcW w:w="1078" w:type="pct"/>
            <w:shd w:val="clear" w:color="auto" w:fill="auto"/>
          </w:tcPr>
          <w:p w:rsidR="001B547B" w:rsidRDefault="001B547B" w:rsidP="00864ACB">
            <w:pPr>
              <w:kinsoku w:val="0"/>
              <w:overflowPunct w:val="0"/>
              <w:autoSpaceDE w:val="0"/>
              <w:autoSpaceDN w:val="0"/>
              <w:adjustRightInd w:val="0"/>
              <w:snapToGrid w:val="0"/>
              <w:rPr>
                <w:szCs w:val="21"/>
              </w:rPr>
            </w:pPr>
            <w:r>
              <w:rPr>
                <w:szCs w:val="21"/>
              </w:rPr>
              <w:t>归属于上市公司股东的扣除非经常性损益的净利润</w:t>
            </w:r>
          </w:p>
        </w:tc>
        <w:tc>
          <w:tcPr>
            <w:tcW w:w="1168" w:type="pct"/>
            <w:shd w:val="clear" w:color="auto" w:fill="auto"/>
          </w:tcPr>
          <w:p w:rsidR="001B547B" w:rsidRDefault="001B547B" w:rsidP="00864ACB">
            <w:pPr>
              <w:jc w:val="right"/>
              <w:rPr>
                <w:szCs w:val="21"/>
              </w:rPr>
            </w:pPr>
            <w:r>
              <w:t>34,819,045.10</w:t>
            </w:r>
          </w:p>
        </w:tc>
        <w:tc>
          <w:tcPr>
            <w:tcW w:w="1527" w:type="pct"/>
            <w:shd w:val="clear" w:color="auto" w:fill="auto"/>
          </w:tcPr>
          <w:p w:rsidR="001B547B" w:rsidRDefault="001B547B" w:rsidP="00864ACB">
            <w:pPr>
              <w:jc w:val="right"/>
              <w:rPr>
                <w:szCs w:val="21"/>
              </w:rPr>
            </w:pPr>
            <w:r>
              <w:t>5,975,573.23</w:t>
            </w:r>
          </w:p>
        </w:tc>
        <w:tc>
          <w:tcPr>
            <w:tcW w:w="1227" w:type="pct"/>
            <w:shd w:val="clear" w:color="auto" w:fill="auto"/>
          </w:tcPr>
          <w:p w:rsidR="001B547B" w:rsidRDefault="001B547B" w:rsidP="00864ACB">
            <w:pPr>
              <w:jc w:val="right"/>
              <w:rPr>
                <w:szCs w:val="21"/>
              </w:rPr>
            </w:pPr>
            <w:r>
              <w:t>482.69</w:t>
            </w:r>
          </w:p>
        </w:tc>
      </w:tr>
      <w:tr w:rsidR="001B547B" w:rsidTr="00792E17">
        <w:tc>
          <w:tcPr>
            <w:tcW w:w="1078" w:type="pct"/>
            <w:shd w:val="clear" w:color="auto" w:fill="auto"/>
          </w:tcPr>
          <w:p w:rsidR="001B547B" w:rsidRDefault="001B547B" w:rsidP="00864ACB">
            <w:pPr>
              <w:rPr>
                <w:szCs w:val="21"/>
              </w:rPr>
            </w:pPr>
            <w:r>
              <w:rPr>
                <w:szCs w:val="21"/>
              </w:rPr>
              <w:t>加权平均净资产收益率（</w:t>
            </w:r>
            <w:r>
              <w:rPr>
                <w:rFonts w:hint="eastAsia"/>
                <w:szCs w:val="21"/>
              </w:rPr>
              <w:t>%</w:t>
            </w:r>
            <w:r>
              <w:rPr>
                <w:szCs w:val="21"/>
              </w:rPr>
              <w:t>）</w:t>
            </w:r>
          </w:p>
        </w:tc>
        <w:tc>
          <w:tcPr>
            <w:tcW w:w="1168" w:type="pct"/>
            <w:shd w:val="clear" w:color="auto" w:fill="auto"/>
          </w:tcPr>
          <w:p w:rsidR="001B547B" w:rsidRDefault="001B547B" w:rsidP="00864ACB">
            <w:pPr>
              <w:jc w:val="right"/>
              <w:rPr>
                <w:szCs w:val="21"/>
              </w:rPr>
            </w:pPr>
            <w:r>
              <w:t>1.94</w:t>
            </w:r>
          </w:p>
        </w:tc>
        <w:tc>
          <w:tcPr>
            <w:tcW w:w="1527" w:type="pct"/>
            <w:shd w:val="clear" w:color="auto" w:fill="auto"/>
          </w:tcPr>
          <w:p w:rsidR="001B547B" w:rsidRDefault="001B547B" w:rsidP="00864ACB">
            <w:pPr>
              <w:jc w:val="right"/>
              <w:rPr>
                <w:szCs w:val="21"/>
              </w:rPr>
            </w:pPr>
            <w:r>
              <w:t>0.66</w:t>
            </w:r>
          </w:p>
        </w:tc>
        <w:tc>
          <w:tcPr>
            <w:tcW w:w="1227" w:type="pct"/>
            <w:shd w:val="clear" w:color="auto" w:fill="auto"/>
          </w:tcPr>
          <w:p w:rsidR="001B547B" w:rsidRDefault="001B547B" w:rsidP="00864ACB">
            <w:pPr>
              <w:jc w:val="right"/>
              <w:rPr>
                <w:szCs w:val="21"/>
              </w:rPr>
            </w:pPr>
            <w:r>
              <w:rPr>
                <w:rFonts w:hint="eastAsia"/>
              </w:rPr>
              <w:t>增加</w:t>
            </w:r>
            <w:r>
              <w:t>1.28个百分点</w:t>
            </w:r>
          </w:p>
        </w:tc>
      </w:tr>
      <w:tr w:rsidR="001B547B" w:rsidTr="00792E17">
        <w:tc>
          <w:tcPr>
            <w:tcW w:w="1078" w:type="pct"/>
            <w:shd w:val="clear" w:color="auto" w:fill="auto"/>
          </w:tcPr>
          <w:p w:rsidR="001B547B" w:rsidRDefault="001B547B" w:rsidP="00864ACB">
            <w:pPr>
              <w:rPr>
                <w:szCs w:val="21"/>
              </w:rPr>
            </w:pPr>
            <w:r>
              <w:rPr>
                <w:szCs w:val="21"/>
              </w:rPr>
              <w:t>基本每股收益（元/股）</w:t>
            </w:r>
          </w:p>
        </w:tc>
        <w:tc>
          <w:tcPr>
            <w:tcW w:w="1168" w:type="pct"/>
            <w:shd w:val="clear" w:color="auto" w:fill="auto"/>
          </w:tcPr>
          <w:p w:rsidR="001B547B" w:rsidRDefault="001B547B" w:rsidP="00864ACB">
            <w:pPr>
              <w:jc w:val="right"/>
              <w:rPr>
                <w:szCs w:val="21"/>
              </w:rPr>
            </w:pPr>
            <w:r>
              <w:t>0.11</w:t>
            </w:r>
          </w:p>
        </w:tc>
        <w:tc>
          <w:tcPr>
            <w:tcW w:w="1527" w:type="pct"/>
            <w:shd w:val="clear" w:color="auto" w:fill="auto"/>
          </w:tcPr>
          <w:p w:rsidR="001B547B" w:rsidRDefault="001B547B" w:rsidP="00864ACB">
            <w:pPr>
              <w:jc w:val="right"/>
              <w:rPr>
                <w:szCs w:val="21"/>
              </w:rPr>
            </w:pPr>
            <w:r>
              <w:t>0.03</w:t>
            </w:r>
          </w:p>
        </w:tc>
        <w:tc>
          <w:tcPr>
            <w:tcW w:w="1227" w:type="pct"/>
            <w:shd w:val="clear" w:color="auto" w:fill="auto"/>
          </w:tcPr>
          <w:p w:rsidR="001B547B" w:rsidRDefault="001B547B" w:rsidP="00864ACB">
            <w:pPr>
              <w:jc w:val="right"/>
              <w:rPr>
                <w:szCs w:val="21"/>
              </w:rPr>
            </w:pPr>
            <w:r>
              <w:rPr>
                <w:szCs w:val="21"/>
              </w:rPr>
              <w:t>266.67</w:t>
            </w:r>
          </w:p>
        </w:tc>
      </w:tr>
      <w:tr w:rsidR="001B547B" w:rsidTr="00792E17">
        <w:tc>
          <w:tcPr>
            <w:tcW w:w="1078" w:type="pct"/>
            <w:shd w:val="clear" w:color="auto" w:fill="auto"/>
          </w:tcPr>
          <w:p w:rsidR="001B547B" w:rsidRDefault="001B547B" w:rsidP="00864ACB">
            <w:pPr>
              <w:rPr>
                <w:szCs w:val="21"/>
              </w:rPr>
            </w:pPr>
            <w:r>
              <w:rPr>
                <w:szCs w:val="21"/>
              </w:rPr>
              <w:t>稀释每股收益（元/股）</w:t>
            </w:r>
          </w:p>
        </w:tc>
        <w:tc>
          <w:tcPr>
            <w:tcW w:w="1168" w:type="pct"/>
            <w:shd w:val="clear" w:color="auto" w:fill="auto"/>
          </w:tcPr>
          <w:p w:rsidR="001B547B" w:rsidRDefault="001B547B" w:rsidP="00864ACB">
            <w:pPr>
              <w:jc w:val="right"/>
              <w:rPr>
                <w:szCs w:val="21"/>
              </w:rPr>
            </w:pPr>
            <w:r>
              <w:t>0.11</w:t>
            </w:r>
          </w:p>
        </w:tc>
        <w:tc>
          <w:tcPr>
            <w:tcW w:w="1527" w:type="pct"/>
            <w:shd w:val="clear" w:color="auto" w:fill="auto"/>
          </w:tcPr>
          <w:p w:rsidR="001B547B" w:rsidRDefault="001B547B" w:rsidP="00864ACB">
            <w:pPr>
              <w:jc w:val="right"/>
              <w:rPr>
                <w:szCs w:val="21"/>
              </w:rPr>
            </w:pPr>
            <w:r>
              <w:t>0.03</w:t>
            </w:r>
          </w:p>
        </w:tc>
        <w:tc>
          <w:tcPr>
            <w:tcW w:w="1227" w:type="pct"/>
            <w:shd w:val="clear" w:color="auto" w:fill="auto"/>
          </w:tcPr>
          <w:p w:rsidR="001B547B" w:rsidRDefault="001B547B" w:rsidP="00864ACB">
            <w:pPr>
              <w:jc w:val="right"/>
              <w:rPr>
                <w:szCs w:val="21"/>
              </w:rPr>
            </w:pPr>
            <w:r>
              <w:rPr>
                <w:szCs w:val="21"/>
              </w:rPr>
              <w:t>266.67</w:t>
            </w:r>
          </w:p>
        </w:tc>
      </w:tr>
    </w:tbl>
    <w:p w:rsidR="001B547B" w:rsidRDefault="001B547B" w:rsidP="001B547B"/>
    <w:p w:rsidR="001B547B" w:rsidRPr="00DB6C2E" w:rsidRDefault="001B547B" w:rsidP="001B547B"/>
    <w:p w:rsidR="001B547B" w:rsidRDefault="001B547B" w:rsidP="001B547B">
      <w:pPr>
        <w:rPr>
          <w:szCs w:val="21"/>
        </w:rPr>
      </w:pPr>
    </w:p>
    <w:p w:rsidR="001B547B" w:rsidRDefault="001B547B" w:rsidP="001B547B">
      <w:pPr>
        <w:rPr>
          <w:szCs w:val="21"/>
        </w:rPr>
      </w:pPr>
      <w:bookmarkStart w:id="6" w:name="_Hlk4500247"/>
      <w:r>
        <w:rPr>
          <w:szCs w:val="21"/>
        </w:rPr>
        <w:lastRenderedPageBreak/>
        <w:t>非经常性损益项目和金额</w:t>
      </w:r>
    </w:p>
    <w:p w:rsidR="001B547B" w:rsidRDefault="001B547B" w:rsidP="001B547B">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p w:rsidR="001B547B" w:rsidRDefault="001B547B" w:rsidP="001B547B">
      <w:pPr>
        <w:wordWrap w:val="0"/>
        <w:snapToGrid w:val="0"/>
        <w:jc w:val="right"/>
        <w:rPr>
          <w:szCs w:val="21"/>
        </w:rPr>
      </w:pPr>
      <w:r>
        <w:rPr>
          <w:szCs w:val="21"/>
        </w:rPr>
        <w:t>单位</w:t>
      </w:r>
      <w:r>
        <w:rPr>
          <w:rFonts w:hint="eastAsia"/>
          <w:szCs w:val="21"/>
        </w:rPr>
        <w:t>：元</w:t>
      </w:r>
      <w:r>
        <w:rPr>
          <w:szCs w:val="21"/>
        </w:rPr>
        <w:t xml:space="preserve">  币种</w:t>
      </w:r>
      <w:r>
        <w:rPr>
          <w:rFonts w:hint="eastAsia"/>
          <w:szCs w:val="21"/>
        </w:rPr>
        <w:t>：人民币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7"/>
        <w:gridCol w:w="1934"/>
        <w:gridCol w:w="1392"/>
      </w:tblGrid>
      <w:tr w:rsidR="001B547B" w:rsidTr="00864ACB">
        <w:tc>
          <w:tcPr>
            <w:tcW w:w="3115" w:type="pct"/>
            <w:vAlign w:val="center"/>
          </w:tcPr>
          <w:p w:rsidR="001B547B" w:rsidRDefault="001B547B" w:rsidP="00864ACB">
            <w:pPr>
              <w:jc w:val="center"/>
              <w:rPr>
                <w:szCs w:val="21"/>
              </w:rPr>
            </w:pPr>
            <w:r>
              <w:rPr>
                <w:szCs w:val="21"/>
              </w:rPr>
              <w:t>项目</w:t>
            </w:r>
          </w:p>
        </w:tc>
        <w:tc>
          <w:tcPr>
            <w:tcW w:w="1096" w:type="pct"/>
            <w:vAlign w:val="center"/>
          </w:tcPr>
          <w:p w:rsidR="001B547B" w:rsidRDefault="001B547B" w:rsidP="00864ACB">
            <w:pPr>
              <w:jc w:val="center"/>
              <w:rPr>
                <w:szCs w:val="21"/>
              </w:rPr>
            </w:pPr>
            <w:r>
              <w:rPr>
                <w:rFonts w:hint="eastAsia"/>
                <w:szCs w:val="21"/>
              </w:rPr>
              <w:t>本期金额</w:t>
            </w:r>
          </w:p>
        </w:tc>
        <w:tc>
          <w:tcPr>
            <w:tcW w:w="789" w:type="pct"/>
            <w:vAlign w:val="center"/>
          </w:tcPr>
          <w:p w:rsidR="001B547B" w:rsidRDefault="001B547B" w:rsidP="00864ACB">
            <w:pPr>
              <w:jc w:val="center"/>
              <w:rPr>
                <w:szCs w:val="21"/>
              </w:rPr>
            </w:pPr>
            <w:r>
              <w:rPr>
                <w:szCs w:val="21"/>
              </w:rPr>
              <w:t>说明</w:t>
            </w:r>
          </w:p>
        </w:tc>
      </w:tr>
      <w:tr w:rsidR="001B547B" w:rsidTr="00864ACB">
        <w:tc>
          <w:tcPr>
            <w:tcW w:w="3115" w:type="pct"/>
            <w:vAlign w:val="center"/>
          </w:tcPr>
          <w:p w:rsidR="001B547B" w:rsidRDefault="001B547B" w:rsidP="00864ACB">
            <w:pPr>
              <w:rPr>
                <w:szCs w:val="21"/>
              </w:rPr>
            </w:pPr>
            <w:r>
              <w:rPr>
                <w:szCs w:val="21"/>
              </w:rPr>
              <w:t>非流动资产处置损益</w:t>
            </w:r>
          </w:p>
        </w:tc>
        <w:tc>
          <w:tcPr>
            <w:tcW w:w="1096" w:type="pct"/>
          </w:tcPr>
          <w:p w:rsidR="001B547B" w:rsidRDefault="001B547B" w:rsidP="00864ACB">
            <w:pPr>
              <w:ind w:right="6"/>
              <w:jc w:val="right"/>
              <w:rPr>
                <w:szCs w:val="21"/>
              </w:rPr>
            </w:pPr>
            <w:r>
              <w:t>-10,199.28</w:t>
            </w: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rFonts w:hint="eastAsia"/>
                <w:szCs w:val="21"/>
              </w:rPr>
              <w:t>越权审批，或无正式批准文件，或偶发性的税收返还、减免</w:t>
            </w:r>
          </w:p>
        </w:tc>
        <w:tc>
          <w:tcPr>
            <w:tcW w:w="1096" w:type="pct"/>
          </w:tcPr>
          <w:p w:rsidR="001B547B" w:rsidRDefault="001B547B" w:rsidP="00864ACB">
            <w:pPr>
              <w:ind w:right="6"/>
              <w:jc w:val="right"/>
              <w:rPr>
                <w:szCs w:val="21"/>
              </w:rPr>
            </w:pPr>
            <w:r>
              <w:t>51,867.36</w:t>
            </w:r>
          </w:p>
        </w:tc>
        <w:tc>
          <w:tcPr>
            <w:tcW w:w="789" w:type="pct"/>
          </w:tcPr>
          <w:p w:rsidR="001B547B" w:rsidRDefault="001B547B" w:rsidP="00864ACB">
            <w:pPr>
              <w:rPr>
                <w:szCs w:val="21"/>
              </w:rPr>
            </w:pPr>
            <w:r>
              <w:t xml:space="preserve">　</w:t>
            </w:r>
          </w:p>
        </w:tc>
      </w:tr>
      <w:tr w:rsidR="001B547B" w:rsidTr="00864ACB">
        <w:tc>
          <w:tcPr>
            <w:tcW w:w="3115" w:type="pct"/>
            <w:vAlign w:val="center"/>
          </w:tcPr>
          <w:p w:rsidR="001B547B" w:rsidRDefault="001B547B" w:rsidP="00864ACB">
            <w:pPr>
              <w:rPr>
                <w:szCs w:val="21"/>
              </w:rPr>
            </w:pPr>
            <w:r>
              <w:rPr>
                <w:rFonts w:hint="eastAsia"/>
                <w:szCs w:val="21"/>
              </w:rPr>
              <w:t>计入当期损益的政府补助，但与公司正常经营业务密切相关，符合国家政策规定、按照一定标准定额或定量持续享受的政府补助除外</w:t>
            </w:r>
          </w:p>
        </w:tc>
        <w:tc>
          <w:tcPr>
            <w:tcW w:w="1096" w:type="pct"/>
          </w:tcPr>
          <w:p w:rsidR="001B547B" w:rsidRDefault="001B547B" w:rsidP="00864ACB">
            <w:pPr>
              <w:ind w:right="6"/>
              <w:jc w:val="right"/>
              <w:rPr>
                <w:szCs w:val="21"/>
              </w:rPr>
            </w:pPr>
            <w:r>
              <w:t>6,384,800.50</w:t>
            </w: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计入当期损益的对非金融企业收取的资金占用费</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企业取得子公司、联营企业及合营企业的投资成本小于取得投资时应享有被投资单位可辨认净资产公允价值产生的收益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非货币性资产交换损益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委托他人投资或管理资产的损益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因不可抗力因素，如遭受自然灾害而计提的各项资产减值准备</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债务重组损益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企业重组费用，如安置职工的支出、整合费用等</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交易价格显失公允的交易产生的超过公允价值部分的损益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与公司正常经营业务无关的或有事项产生的损益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096" w:type="pct"/>
          </w:tcPr>
          <w:p w:rsidR="001B547B" w:rsidRDefault="001B547B" w:rsidP="00864ACB">
            <w:pPr>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widowControl w:val="0"/>
            </w:pPr>
            <w:r>
              <w:rPr>
                <w:rFonts w:hint="eastAsia"/>
              </w:rPr>
              <w:t>单独进行减值测试的应收款项、合同资产减值准备转回</w:t>
            </w:r>
          </w:p>
        </w:tc>
        <w:tc>
          <w:tcPr>
            <w:tcW w:w="1096" w:type="pct"/>
          </w:tcPr>
          <w:p w:rsidR="001B547B" w:rsidRDefault="001B547B" w:rsidP="00864ACB">
            <w:pPr>
              <w:jc w:val="right"/>
              <w:rPr>
                <w:szCs w:val="21"/>
              </w:rPr>
            </w:pPr>
            <w:r>
              <w:rPr>
                <w:rFonts w:hint="eastAsia"/>
                <w:szCs w:val="21"/>
              </w:rPr>
              <w:t xml:space="preserve">　</w:t>
            </w:r>
          </w:p>
        </w:tc>
        <w:tc>
          <w:tcPr>
            <w:tcW w:w="789" w:type="pct"/>
          </w:tcPr>
          <w:p w:rsidR="001B547B" w:rsidRDefault="001B547B" w:rsidP="00864ACB">
            <w:pPr>
              <w:rPr>
                <w:szCs w:val="21"/>
              </w:rPr>
            </w:pPr>
            <w:r>
              <w:rPr>
                <w:rFonts w:hint="eastAsia"/>
                <w:szCs w:val="21"/>
              </w:rPr>
              <w:t xml:space="preserve">　</w:t>
            </w:r>
          </w:p>
        </w:tc>
      </w:tr>
      <w:tr w:rsidR="001B547B" w:rsidTr="00864ACB">
        <w:tc>
          <w:tcPr>
            <w:tcW w:w="3115" w:type="pct"/>
            <w:vAlign w:val="center"/>
          </w:tcPr>
          <w:p w:rsidR="001B547B" w:rsidRDefault="001B547B" w:rsidP="00864ACB">
            <w:pPr>
              <w:rPr>
                <w:szCs w:val="21"/>
              </w:rPr>
            </w:pPr>
            <w:r>
              <w:rPr>
                <w:szCs w:val="21"/>
              </w:rPr>
              <w:t xml:space="preserve">对外委托贷款取得的损益 </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采用公允价值模式进行后续计量的投资性房地产公允价值变动产生的损益</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根据税收、会计等法律、法规的要求对当期损益进行一次性调整对当期损益的影响</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受托经营取得的托管费收入</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除上述各项之外的其他营业外收入和支出</w:t>
            </w:r>
          </w:p>
        </w:tc>
        <w:tc>
          <w:tcPr>
            <w:tcW w:w="1096" w:type="pct"/>
          </w:tcPr>
          <w:p w:rsidR="001B547B" w:rsidRDefault="001B547B" w:rsidP="00864ACB">
            <w:pPr>
              <w:ind w:right="6"/>
              <w:jc w:val="right"/>
              <w:rPr>
                <w:szCs w:val="21"/>
              </w:rPr>
            </w:pPr>
            <w:r>
              <w:t>-33,473.36</w:t>
            </w: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其他符合非经常性损益定义的损益项目</w:t>
            </w:r>
          </w:p>
        </w:tc>
        <w:tc>
          <w:tcPr>
            <w:tcW w:w="1096" w:type="pct"/>
          </w:tcPr>
          <w:p w:rsidR="001B547B" w:rsidRDefault="001B547B" w:rsidP="00864ACB">
            <w:pPr>
              <w:ind w:right="6"/>
              <w:jc w:val="right"/>
              <w:rPr>
                <w:szCs w:val="21"/>
              </w:rPr>
            </w:pP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少数股东权益影响额（税后）</w:t>
            </w:r>
          </w:p>
        </w:tc>
        <w:tc>
          <w:tcPr>
            <w:tcW w:w="1096" w:type="pct"/>
          </w:tcPr>
          <w:p w:rsidR="001B547B" w:rsidRDefault="001B547B" w:rsidP="00864ACB">
            <w:pPr>
              <w:jc w:val="right"/>
              <w:rPr>
                <w:szCs w:val="21"/>
              </w:rPr>
            </w:pPr>
            <w:r>
              <w:rPr>
                <w:szCs w:val="21"/>
              </w:rPr>
              <w:t>-</w:t>
            </w:r>
            <w:r>
              <w:rPr>
                <w:rFonts w:hint="eastAsia"/>
                <w:szCs w:val="21"/>
              </w:rPr>
              <w:t>736,763.15</w:t>
            </w:r>
          </w:p>
        </w:tc>
        <w:tc>
          <w:tcPr>
            <w:tcW w:w="789" w:type="pct"/>
          </w:tcPr>
          <w:p w:rsidR="001B547B" w:rsidRDefault="001B547B" w:rsidP="00864ACB">
            <w:pPr>
              <w:rPr>
                <w:szCs w:val="21"/>
              </w:rPr>
            </w:pPr>
          </w:p>
        </w:tc>
      </w:tr>
      <w:tr w:rsidR="001B547B" w:rsidTr="00864ACB">
        <w:tc>
          <w:tcPr>
            <w:tcW w:w="3115" w:type="pct"/>
            <w:vAlign w:val="center"/>
          </w:tcPr>
          <w:p w:rsidR="001B547B" w:rsidRDefault="001B547B" w:rsidP="00864ACB">
            <w:pPr>
              <w:rPr>
                <w:szCs w:val="21"/>
              </w:rPr>
            </w:pPr>
            <w:r>
              <w:rPr>
                <w:szCs w:val="21"/>
              </w:rPr>
              <w:t>所得税影响额</w:t>
            </w:r>
          </w:p>
        </w:tc>
        <w:tc>
          <w:tcPr>
            <w:tcW w:w="1096" w:type="pct"/>
          </w:tcPr>
          <w:p w:rsidR="001B547B" w:rsidRDefault="001B547B" w:rsidP="00864ACB">
            <w:pPr>
              <w:jc w:val="right"/>
              <w:rPr>
                <w:szCs w:val="21"/>
              </w:rPr>
            </w:pPr>
            <w:r>
              <w:rPr>
                <w:szCs w:val="21"/>
              </w:rPr>
              <w:t>-</w:t>
            </w:r>
            <w:r>
              <w:rPr>
                <w:rFonts w:hint="eastAsia"/>
                <w:szCs w:val="21"/>
              </w:rPr>
              <w:t>1,530,490.10</w:t>
            </w:r>
          </w:p>
        </w:tc>
        <w:tc>
          <w:tcPr>
            <w:tcW w:w="789" w:type="pct"/>
          </w:tcPr>
          <w:p w:rsidR="001B547B" w:rsidRDefault="001B547B" w:rsidP="00864ACB">
            <w:pPr>
              <w:jc w:val="right"/>
              <w:rPr>
                <w:szCs w:val="21"/>
              </w:rPr>
            </w:pPr>
          </w:p>
        </w:tc>
      </w:tr>
      <w:tr w:rsidR="001B547B" w:rsidTr="00864ACB">
        <w:tc>
          <w:tcPr>
            <w:tcW w:w="3115" w:type="pct"/>
            <w:vAlign w:val="center"/>
          </w:tcPr>
          <w:p w:rsidR="001B547B" w:rsidRDefault="001B547B" w:rsidP="00864ACB">
            <w:pPr>
              <w:jc w:val="center"/>
              <w:rPr>
                <w:szCs w:val="21"/>
              </w:rPr>
            </w:pPr>
            <w:r>
              <w:rPr>
                <w:szCs w:val="21"/>
              </w:rPr>
              <w:t>合计</w:t>
            </w:r>
          </w:p>
        </w:tc>
        <w:tc>
          <w:tcPr>
            <w:tcW w:w="1096" w:type="pct"/>
          </w:tcPr>
          <w:p w:rsidR="001B547B" w:rsidRDefault="001B547B" w:rsidP="00792E17">
            <w:pPr>
              <w:jc w:val="right"/>
              <w:rPr>
                <w:szCs w:val="21"/>
              </w:rPr>
            </w:pPr>
            <w:r>
              <w:rPr>
                <w:rFonts w:hint="eastAsia"/>
                <w:szCs w:val="21"/>
              </w:rPr>
              <w:t>4,125,741.97</w:t>
            </w:r>
          </w:p>
        </w:tc>
        <w:tc>
          <w:tcPr>
            <w:tcW w:w="789" w:type="pct"/>
          </w:tcPr>
          <w:p w:rsidR="001B547B" w:rsidRDefault="001B547B" w:rsidP="00864ACB">
            <w:pPr>
              <w:rPr>
                <w:szCs w:val="21"/>
              </w:rPr>
            </w:pPr>
          </w:p>
        </w:tc>
      </w:tr>
    </w:tbl>
    <w:p w:rsidR="001B547B" w:rsidRDefault="001B547B" w:rsidP="001B547B"/>
    <w:p w:rsidR="001B547B" w:rsidRDefault="001B547B" w:rsidP="001B547B">
      <w:pPr>
        <w:rPr>
          <w:rFonts w:hAnsi="Courier New"/>
          <w:color w:val="auto"/>
          <w:kern w:val="2"/>
          <w:szCs w:val="21"/>
        </w:rPr>
      </w:pPr>
      <w:bookmarkStart w:id="7" w:name="_GoBack"/>
      <w:bookmarkEnd w:id="6"/>
      <w:bookmarkEnd w:id="7"/>
    </w:p>
    <w:p w:rsidR="001B547B" w:rsidRDefault="001B547B" w:rsidP="001B547B">
      <w:pPr>
        <w:pStyle w:val="2"/>
        <w:numPr>
          <w:ilvl w:val="0"/>
          <w:numId w:val="3"/>
        </w:numPr>
        <w:spacing w:line="240" w:lineRule="auto"/>
        <w:rPr>
          <w:b/>
        </w:rPr>
      </w:pPr>
      <w:r>
        <w:lastRenderedPageBreak/>
        <w:t>截止报告期末的股东总数、前十名股东、前十名流通股东（或无限</w:t>
      </w:r>
      <w:proofErr w:type="gramStart"/>
      <w:r>
        <w:t>售条件</w:t>
      </w:r>
      <w:proofErr w:type="gramEnd"/>
      <w:r>
        <w:t>股东）持股情况表</w:t>
      </w:r>
    </w:p>
    <w:p w:rsidR="001B547B" w:rsidRDefault="001B547B" w:rsidP="001B547B">
      <w:pPr>
        <w:jc w:val="right"/>
        <w:rPr>
          <w:bCs/>
          <w:color w:val="auto"/>
          <w:szCs w:val="21"/>
        </w:rPr>
      </w:pPr>
      <w:r>
        <w:rPr>
          <w:rFonts w:hint="eastAsia"/>
          <w:bCs/>
          <w:color w:val="auto"/>
          <w:szCs w:val="21"/>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1525"/>
        <w:gridCol w:w="1103"/>
        <w:gridCol w:w="690"/>
        <w:gridCol w:w="1528"/>
        <w:gridCol w:w="72"/>
        <w:gridCol w:w="434"/>
        <w:gridCol w:w="1016"/>
      </w:tblGrid>
      <w:tr w:rsidR="001B547B" w:rsidTr="00864ACB">
        <w:trPr>
          <w:cantSplit/>
        </w:trPr>
        <w:tc>
          <w:tcPr>
            <w:tcW w:w="2880" w:type="pct"/>
            <w:gridSpan w:val="3"/>
            <w:shd w:val="clear" w:color="auto" w:fill="auto"/>
          </w:tcPr>
          <w:p w:rsidR="001B547B" w:rsidRDefault="001B547B" w:rsidP="00864ACB">
            <w:r>
              <w:rPr>
                <w:rFonts w:hint="eastAsia"/>
              </w:rPr>
              <w:t>股东总数（户）</w:t>
            </w:r>
          </w:p>
        </w:tc>
        <w:tc>
          <w:tcPr>
            <w:tcW w:w="2120" w:type="pct"/>
            <w:gridSpan w:val="5"/>
            <w:shd w:val="clear" w:color="auto" w:fill="auto"/>
          </w:tcPr>
          <w:p w:rsidR="001B547B" w:rsidRDefault="001B547B" w:rsidP="00864ACB">
            <w:pPr>
              <w:jc w:val="right"/>
            </w:pPr>
            <w:r>
              <w:t>28,186</w:t>
            </w:r>
          </w:p>
        </w:tc>
      </w:tr>
      <w:tr w:rsidR="001B547B" w:rsidTr="00864ACB">
        <w:trPr>
          <w:cantSplit/>
        </w:trPr>
        <w:tc>
          <w:tcPr>
            <w:tcW w:w="5000" w:type="pct"/>
            <w:gridSpan w:val="8"/>
            <w:shd w:val="clear" w:color="auto" w:fill="auto"/>
          </w:tcPr>
          <w:p w:rsidR="001B547B" w:rsidRDefault="001B547B" w:rsidP="00864ACB">
            <w:pPr>
              <w:jc w:val="center"/>
            </w:pPr>
            <w:r>
              <w:t>前十名股东持股情况</w:t>
            </w:r>
          </w:p>
        </w:tc>
      </w:tr>
      <w:tr w:rsidR="001B547B" w:rsidTr="00864ACB">
        <w:trPr>
          <w:cantSplit/>
        </w:trPr>
        <w:tc>
          <w:tcPr>
            <w:tcW w:w="1391" w:type="pct"/>
            <w:vMerge w:val="restart"/>
            <w:shd w:val="clear" w:color="auto" w:fill="auto"/>
            <w:vAlign w:val="center"/>
          </w:tcPr>
          <w:p w:rsidR="001B547B" w:rsidRDefault="001B547B" w:rsidP="00864ACB">
            <w:pPr>
              <w:jc w:val="center"/>
              <w:rPr>
                <w:szCs w:val="21"/>
              </w:rPr>
            </w:pPr>
            <w:r>
              <w:rPr>
                <w:szCs w:val="21"/>
              </w:rPr>
              <w:t>股东名称</w:t>
            </w:r>
            <w:r>
              <w:rPr>
                <w:rFonts w:hint="eastAsia"/>
                <w:szCs w:val="21"/>
              </w:rPr>
              <w:t>（全称）</w:t>
            </w:r>
          </w:p>
        </w:tc>
        <w:tc>
          <w:tcPr>
            <w:tcW w:w="864" w:type="pct"/>
            <w:vMerge w:val="restart"/>
            <w:shd w:val="clear" w:color="auto" w:fill="auto"/>
            <w:vAlign w:val="center"/>
          </w:tcPr>
          <w:p w:rsidR="001B547B" w:rsidRDefault="001B547B" w:rsidP="00864ACB">
            <w:pPr>
              <w:jc w:val="center"/>
              <w:rPr>
                <w:szCs w:val="21"/>
              </w:rPr>
            </w:pPr>
            <w:r>
              <w:rPr>
                <w:szCs w:val="21"/>
              </w:rPr>
              <w:t>期末持股</w:t>
            </w:r>
          </w:p>
          <w:p w:rsidR="001B547B" w:rsidRDefault="001B547B" w:rsidP="00864ACB">
            <w:pPr>
              <w:jc w:val="center"/>
              <w:rPr>
                <w:szCs w:val="21"/>
              </w:rPr>
            </w:pPr>
            <w:r>
              <w:rPr>
                <w:szCs w:val="21"/>
              </w:rPr>
              <w:t>数量</w:t>
            </w:r>
          </w:p>
        </w:tc>
        <w:tc>
          <w:tcPr>
            <w:tcW w:w="625" w:type="pct"/>
            <w:vMerge w:val="restart"/>
            <w:shd w:val="clear" w:color="auto" w:fill="auto"/>
            <w:vAlign w:val="center"/>
          </w:tcPr>
          <w:p w:rsidR="001B547B" w:rsidRDefault="001B547B" w:rsidP="00864ACB">
            <w:pPr>
              <w:jc w:val="center"/>
              <w:rPr>
                <w:szCs w:val="21"/>
              </w:rPr>
            </w:pPr>
            <w:r>
              <w:rPr>
                <w:szCs w:val="21"/>
              </w:rPr>
              <w:t>比例(%)</w:t>
            </w:r>
          </w:p>
        </w:tc>
        <w:tc>
          <w:tcPr>
            <w:tcW w:w="391" w:type="pct"/>
            <w:vMerge w:val="restart"/>
            <w:shd w:val="clear" w:color="auto" w:fill="auto"/>
            <w:vAlign w:val="center"/>
          </w:tcPr>
          <w:p w:rsidR="001B547B" w:rsidRDefault="001B547B" w:rsidP="00864ACB">
            <w:pPr>
              <w:rPr>
                <w:bCs/>
                <w:color w:val="00B050"/>
              </w:rPr>
            </w:pPr>
            <w:r>
              <w:rPr>
                <w:bCs/>
              </w:rPr>
              <w:t>持有有限</w:t>
            </w:r>
            <w:proofErr w:type="gramStart"/>
            <w:r>
              <w:rPr>
                <w:bCs/>
              </w:rPr>
              <w:t>售条件</w:t>
            </w:r>
            <w:proofErr w:type="gramEnd"/>
            <w:r>
              <w:rPr>
                <w:bCs/>
              </w:rPr>
              <w:t>股份数量</w:t>
            </w:r>
          </w:p>
        </w:tc>
        <w:tc>
          <w:tcPr>
            <w:tcW w:w="1153" w:type="pct"/>
            <w:gridSpan w:val="3"/>
            <w:shd w:val="clear" w:color="auto" w:fill="auto"/>
            <w:vAlign w:val="center"/>
          </w:tcPr>
          <w:p w:rsidR="001B547B" w:rsidRDefault="001B547B" w:rsidP="00864ACB">
            <w:pPr>
              <w:jc w:val="center"/>
              <w:rPr>
                <w:szCs w:val="21"/>
              </w:rPr>
            </w:pPr>
            <w:r>
              <w:rPr>
                <w:szCs w:val="21"/>
              </w:rPr>
              <w:t>质押或冻结情况</w:t>
            </w:r>
          </w:p>
        </w:tc>
        <w:tc>
          <w:tcPr>
            <w:tcW w:w="576" w:type="pct"/>
            <w:vMerge w:val="restart"/>
            <w:shd w:val="clear" w:color="auto" w:fill="auto"/>
            <w:vAlign w:val="center"/>
          </w:tcPr>
          <w:p w:rsidR="001B547B" w:rsidRDefault="001B547B" w:rsidP="00864ACB">
            <w:pPr>
              <w:jc w:val="center"/>
              <w:rPr>
                <w:szCs w:val="21"/>
              </w:rPr>
            </w:pPr>
            <w:r>
              <w:rPr>
                <w:szCs w:val="21"/>
              </w:rPr>
              <w:t>股东性质</w:t>
            </w:r>
          </w:p>
        </w:tc>
      </w:tr>
      <w:tr w:rsidR="001B547B" w:rsidTr="00864ACB">
        <w:trPr>
          <w:cantSplit/>
        </w:trPr>
        <w:tc>
          <w:tcPr>
            <w:tcW w:w="1391" w:type="pct"/>
            <w:vMerge/>
            <w:tcBorders>
              <w:bottom w:val="single" w:sz="4" w:space="0" w:color="auto"/>
            </w:tcBorders>
            <w:shd w:val="clear" w:color="auto" w:fill="auto"/>
            <w:vAlign w:val="center"/>
          </w:tcPr>
          <w:p w:rsidR="001B547B" w:rsidRDefault="001B547B" w:rsidP="00864ACB">
            <w:pPr>
              <w:jc w:val="center"/>
              <w:rPr>
                <w:szCs w:val="21"/>
              </w:rPr>
            </w:pPr>
          </w:p>
        </w:tc>
        <w:tc>
          <w:tcPr>
            <w:tcW w:w="864" w:type="pct"/>
            <w:vMerge/>
            <w:tcBorders>
              <w:bottom w:val="single" w:sz="4" w:space="0" w:color="auto"/>
            </w:tcBorders>
            <w:shd w:val="clear" w:color="auto" w:fill="auto"/>
            <w:vAlign w:val="center"/>
          </w:tcPr>
          <w:p w:rsidR="001B547B" w:rsidRDefault="001B547B" w:rsidP="00864ACB">
            <w:pPr>
              <w:jc w:val="center"/>
              <w:rPr>
                <w:szCs w:val="21"/>
              </w:rPr>
            </w:pPr>
          </w:p>
        </w:tc>
        <w:tc>
          <w:tcPr>
            <w:tcW w:w="625" w:type="pct"/>
            <w:vMerge/>
            <w:tcBorders>
              <w:bottom w:val="single" w:sz="4" w:space="0" w:color="auto"/>
            </w:tcBorders>
            <w:shd w:val="clear" w:color="auto" w:fill="auto"/>
            <w:vAlign w:val="center"/>
          </w:tcPr>
          <w:p w:rsidR="001B547B" w:rsidRDefault="001B547B" w:rsidP="00864ACB">
            <w:pPr>
              <w:jc w:val="center"/>
              <w:rPr>
                <w:szCs w:val="21"/>
              </w:rPr>
            </w:pPr>
          </w:p>
        </w:tc>
        <w:tc>
          <w:tcPr>
            <w:tcW w:w="391" w:type="pct"/>
            <w:vMerge/>
            <w:tcBorders>
              <w:bottom w:val="single" w:sz="4" w:space="0" w:color="auto"/>
            </w:tcBorders>
            <w:shd w:val="clear" w:color="auto" w:fill="auto"/>
            <w:vAlign w:val="center"/>
          </w:tcPr>
          <w:p w:rsidR="001B547B" w:rsidRDefault="001B547B" w:rsidP="00864ACB">
            <w:pPr>
              <w:jc w:val="center"/>
              <w:rPr>
                <w:szCs w:val="21"/>
              </w:rPr>
            </w:pPr>
          </w:p>
        </w:tc>
        <w:tc>
          <w:tcPr>
            <w:tcW w:w="907" w:type="pct"/>
            <w:gridSpan w:val="2"/>
            <w:tcBorders>
              <w:bottom w:val="single" w:sz="4" w:space="0" w:color="auto"/>
            </w:tcBorders>
            <w:shd w:val="clear" w:color="auto" w:fill="auto"/>
            <w:vAlign w:val="center"/>
          </w:tcPr>
          <w:p w:rsidR="001B547B" w:rsidRDefault="001B547B" w:rsidP="00864ACB">
            <w:pPr>
              <w:jc w:val="center"/>
              <w:rPr>
                <w:szCs w:val="21"/>
              </w:rPr>
            </w:pPr>
            <w:r>
              <w:rPr>
                <w:szCs w:val="21"/>
              </w:rPr>
              <w:t>股份状态</w:t>
            </w:r>
          </w:p>
        </w:tc>
        <w:tc>
          <w:tcPr>
            <w:tcW w:w="246" w:type="pct"/>
            <w:tcBorders>
              <w:bottom w:val="single" w:sz="4" w:space="0" w:color="auto"/>
            </w:tcBorders>
            <w:shd w:val="clear" w:color="auto" w:fill="auto"/>
            <w:vAlign w:val="center"/>
          </w:tcPr>
          <w:p w:rsidR="001B547B" w:rsidRDefault="001B547B" w:rsidP="00864ACB">
            <w:pPr>
              <w:jc w:val="center"/>
              <w:rPr>
                <w:szCs w:val="21"/>
              </w:rPr>
            </w:pPr>
            <w:r>
              <w:rPr>
                <w:szCs w:val="21"/>
              </w:rPr>
              <w:t>数量</w:t>
            </w:r>
          </w:p>
        </w:tc>
        <w:tc>
          <w:tcPr>
            <w:tcW w:w="576" w:type="pct"/>
            <w:vMerge/>
            <w:shd w:val="clear" w:color="auto" w:fill="auto"/>
          </w:tcPr>
          <w:p w:rsidR="001B547B" w:rsidRDefault="001B547B" w:rsidP="00864ACB">
            <w:pPr>
              <w:jc w:val="center"/>
              <w:rPr>
                <w:szCs w:val="21"/>
              </w:rPr>
            </w:pPr>
          </w:p>
        </w:tc>
      </w:tr>
      <w:tr w:rsidR="001B547B" w:rsidTr="00864ACB">
        <w:trPr>
          <w:cantSplit/>
        </w:trPr>
        <w:tc>
          <w:tcPr>
            <w:tcW w:w="1391" w:type="pct"/>
            <w:shd w:val="clear" w:color="auto" w:fill="auto"/>
            <w:vAlign w:val="center"/>
          </w:tcPr>
          <w:p w:rsidR="001B547B" w:rsidRDefault="001B547B" w:rsidP="00864ACB">
            <w:pPr>
              <w:rPr>
                <w:szCs w:val="21"/>
              </w:rPr>
            </w:pPr>
            <w:r>
              <w:t>中国水</w:t>
            </w:r>
            <w:proofErr w:type="gramStart"/>
            <w:r>
              <w:t>务</w:t>
            </w:r>
            <w:proofErr w:type="gramEnd"/>
            <w:r>
              <w:t>投资有限公司</w:t>
            </w:r>
          </w:p>
        </w:tc>
        <w:tc>
          <w:tcPr>
            <w:tcW w:w="864" w:type="pct"/>
            <w:shd w:val="clear" w:color="auto" w:fill="auto"/>
            <w:vAlign w:val="center"/>
          </w:tcPr>
          <w:p w:rsidR="001B547B" w:rsidRDefault="001B547B" w:rsidP="00864ACB">
            <w:pPr>
              <w:jc w:val="right"/>
              <w:rPr>
                <w:szCs w:val="21"/>
              </w:rPr>
            </w:pPr>
            <w:r>
              <w:t>118,436,629</w:t>
            </w:r>
          </w:p>
        </w:tc>
        <w:tc>
          <w:tcPr>
            <w:tcW w:w="625" w:type="pct"/>
            <w:shd w:val="clear" w:color="auto" w:fill="auto"/>
            <w:vAlign w:val="center"/>
          </w:tcPr>
          <w:p w:rsidR="001B547B" w:rsidRDefault="001B547B" w:rsidP="00864ACB">
            <w:pPr>
              <w:jc w:val="right"/>
              <w:rPr>
                <w:szCs w:val="21"/>
              </w:rPr>
            </w:pPr>
            <w:r>
              <w:t>33.55</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无</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国有法人</w:t>
            </w:r>
          </w:p>
        </w:tc>
      </w:tr>
      <w:tr w:rsidR="001B547B" w:rsidTr="00864ACB">
        <w:trPr>
          <w:cantSplit/>
        </w:trPr>
        <w:tc>
          <w:tcPr>
            <w:tcW w:w="1391" w:type="pct"/>
            <w:shd w:val="clear" w:color="auto" w:fill="auto"/>
            <w:vAlign w:val="center"/>
          </w:tcPr>
          <w:p w:rsidR="001B547B" w:rsidRDefault="001B547B" w:rsidP="00864ACB">
            <w:pPr>
              <w:rPr>
                <w:szCs w:val="21"/>
              </w:rPr>
            </w:pPr>
            <w:r>
              <w:t>浙江省新能源投资集团股份有限公司</w:t>
            </w:r>
          </w:p>
        </w:tc>
        <w:tc>
          <w:tcPr>
            <w:tcW w:w="864" w:type="pct"/>
            <w:shd w:val="clear" w:color="auto" w:fill="auto"/>
            <w:vAlign w:val="center"/>
          </w:tcPr>
          <w:p w:rsidR="001B547B" w:rsidRDefault="001B547B" w:rsidP="00864ACB">
            <w:pPr>
              <w:jc w:val="right"/>
              <w:rPr>
                <w:szCs w:val="21"/>
              </w:rPr>
            </w:pPr>
            <w:r>
              <w:t>89,802,172</w:t>
            </w:r>
          </w:p>
        </w:tc>
        <w:tc>
          <w:tcPr>
            <w:tcW w:w="625" w:type="pct"/>
            <w:shd w:val="clear" w:color="auto" w:fill="auto"/>
            <w:vAlign w:val="center"/>
          </w:tcPr>
          <w:p w:rsidR="001B547B" w:rsidRDefault="001B547B" w:rsidP="00864ACB">
            <w:pPr>
              <w:jc w:val="right"/>
              <w:rPr>
                <w:szCs w:val="21"/>
              </w:rPr>
            </w:pPr>
            <w:r>
              <w:t>25.44</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无</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国有法人</w:t>
            </w:r>
          </w:p>
        </w:tc>
      </w:tr>
      <w:tr w:rsidR="001B547B" w:rsidTr="00864ACB">
        <w:trPr>
          <w:cantSplit/>
        </w:trPr>
        <w:tc>
          <w:tcPr>
            <w:tcW w:w="1391" w:type="pct"/>
            <w:shd w:val="clear" w:color="auto" w:fill="auto"/>
            <w:vAlign w:val="center"/>
          </w:tcPr>
          <w:p w:rsidR="001B547B" w:rsidRDefault="001B547B" w:rsidP="00864ACB">
            <w:pPr>
              <w:rPr>
                <w:szCs w:val="21"/>
              </w:rPr>
            </w:pPr>
            <w:r>
              <w:t>钱江硅谷控股有限责任公司</w:t>
            </w:r>
          </w:p>
        </w:tc>
        <w:tc>
          <w:tcPr>
            <w:tcW w:w="864" w:type="pct"/>
            <w:shd w:val="clear" w:color="auto" w:fill="auto"/>
            <w:vAlign w:val="center"/>
          </w:tcPr>
          <w:p w:rsidR="001B547B" w:rsidRDefault="001B547B" w:rsidP="00864ACB">
            <w:pPr>
              <w:jc w:val="right"/>
              <w:rPr>
                <w:szCs w:val="21"/>
              </w:rPr>
            </w:pPr>
            <w:r>
              <w:t>22,729,832</w:t>
            </w:r>
          </w:p>
        </w:tc>
        <w:tc>
          <w:tcPr>
            <w:tcW w:w="625" w:type="pct"/>
            <w:shd w:val="clear" w:color="auto" w:fill="auto"/>
            <w:vAlign w:val="center"/>
          </w:tcPr>
          <w:p w:rsidR="001B547B" w:rsidRDefault="001B547B" w:rsidP="00864ACB">
            <w:pPr>
              <w:jc w:val="right"/>
              <w:rPr>
                <w:szCs w:val="21"/>
              </w:rPr>
            </w:pPr>
            <w:r>
              <w:t>6.44</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无</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国有法人</w:t>
            </w:r>
          </w:p>
        </w:tc>
      </w:tr>
      <w:tr w:rsidR="001B547B" w:rsidTr="00864ACB">
        <w:trPr>
          <w:cantSplit/>
        </w:trPr>
        <w:tc>
          <w:tcPr>
            <w:tcW w:w="1391" w:type="pct"/>
            <w:shd w:val="clear" w:color="auto" w:fill="auto"/>
            <w:vAlign w:val="center"/>
          </w:tcPr>
          <w:p w:rsidR="001B547B" w:rsidRDefault="001B547B" w:rsidP="00864ACB">
            <w:pPr>
              <w:rPr>
                <w:szCs w:val="21"/>
              </w:rPr>
            </w:pPr>
            <w:r>
              <w:t>浙江省水电实业公司</w:t>
            </w:r>
          </w:p>
        </w:tc>
        <w:tc>
          <w:tcPr>
            <w:tcW w:w="864" w:type="pct"/>
            <w:shd w:val="clear" w:color="auto" w:fill="auto"/>
            <w:vAlign w:val="center"/>
          </w:tcPr>
          <w:p w:rsidR="001B547B" w:rsidRDefault="001B547B" w:rsidP="00864ACB">
            <w:pPr>
              <w:jc w:val="right"/>
              <w:rPr>
                <w:szCs w:val="21"/>
              </w:rPr>
            </w:pPr>
            <w:r>
              <w:t>16,077,044</w:t>
            </w:r>
          </w:p>
        </w:tc>
        <w:tc>
          <w:tcPr>
            <w:tcW w:w="625" w:type="pct"/>
            <w:shd w:val="clear" w:color="auto" w:fill="auto"/>
            <w:vAlign w:val="center"/>
          </w:tcPr>
          <w:p w:rsidR="001B547B" w:rsidRDefault="001B547B" w:rsidP="00864ACB">
            <w:pPr>
              <w:jc w:val="right"/>
              <w:rPr>
                <w:szCs w:val="21"/>
              </w:rPr>
            </w:pPr>
            <w:r>
              <w:t>4.55</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无</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国有法人</w:t>
            </w:r>
          </w:p>
        </w:tc>
      </w:tr>
      <w:tr w:rsidR="001B547B" w:rsidTr="00864ACB">
        <w:trPr>
          <w:cantSplit/>
        </w:trPr>
        <w:tc>
          <w:tcPr>
            <w:tcW w:w="1391" w:type="pct"/>
            <w:shd w:val="clear" w:color="auto" w:fill="auto"/>
            <w:vAlign w:val="center"/>
          </w:tcPr>
          <w:p w:rsidR="001B547B" w:rsidRDefault="001B547B" w:rsidP="00864ACB">
            <w:pPr>
              <w:rPr>
                <w:szCs w:val="21"/>
              </w:rPr>
            </w:pPr>
            <w:r>
              <w:t>叶德资</w:t>
            </w:r>
          </w:p>
        </w:tc>
        <w:tc>
          <w:tcPr>
            <w:tcW w:w="864" w:type="pct"/>
            <w:shd w:val="clear" w:color="auto" w:fill="auto"/>
            <w:vAlign w:val="center"/>
          </w:tcPr>
          <w:p w:rsidR="001B547B" w:rsidRDefault="001B547B" w:rsidP="00864ACB">
            <w:pPr>
              <w:jc w:val="right"/>
              <w:rPr>
                <w:szCs w:val="21"/>
              </w:rPr>
            </w:pPr>
            <w:r>
              <w:t>1,761,442</w:t>
            </w:r>
          </w:p>
        </w:tc>
        <w:tc>
          <w:tcPr>
            <w:tcW w:w="625" w:type="pct"/>
            <w:shd w:val="clear" w:color="auto" w:fill="auto"/>
            <w:vAlign w:val="center"/>
          </w:tcPr>
          <w:p w:rsidR="001B547B" w:rsidRDefault="001B547B" w:rsidP="00864ACB">
            <w:pPr>
              <w:jc w:val="right"/>
              <w:rPr>
                <w:szCs w:val="21"/>
              </w:rPr>
            </w:pPr>
            <w:r>
              <w:t>0.50</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1391" w:type="pct"/>
            <w:shd w:val="clear" w:color="auto" w:fill="auto"/>
            <w:vAlign w:val="center"/>
          </w:tcPr>
          <w:p w:rsidR="001B547B" w:rsidRDefault="001B547B" w:rsidP="00864ACB">
            <w:pPr>
              <w:rPr>
                <w:szCs w:val="21"/>
              </w:rPr>
            </w:pPr>
            <w:r>
              <w:t>高建勇</w:t>
            </w:r>
          </w:p>
        </w:tc>
        <w:tc>
          <w:tcPr>
            <w:tcW w:w="864" w:type="pct"/>
            <w:shd w:val="clear" w:color="auto" w:fill="auto"/>
            <w:vAlign w:val="center"/>
          </w:tcPr>
          <w:p w:rsidR="001B547B" w:rsidRDefault="001B547B" w:rsidP="00864ACB">
            <w:pPr>
              <w:jc w:val="right"/>
              <w:rPr>
                <w:szCs w:val="21"/>
              </w:rPr>
            </w:pPr>
            <w:r>
              <w:t>1,521,205</w:t>
            </w:r>
          </w:p>
        </w:tc>
        <w:tc>
          <w:tcPr>
            <w:tcW w:w="625" w:type="pct"/>
            <w:shd w:val="clear" w:color="auto" w:fill="auto"/>
            <w:vAlign w:val="center"/>
          </w:tcPr>
          <w:p w:rsidR="001B547B" w:rsidRDefault="001B547B" w:rsidP="00864ACB">
            <w:pPr>
              <w:jc w:val="right"/>
              <w:rPr>
                <w:szCs w:val="21"/>
              </w:rPr>
            </w:pPr>
            <w:r>
              <w:t>0.43</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1391" w:type="pct"/>
            <w:shd w:val="clear" w:color="auto" w:fill="auto"/>
            <w:vAlign w:val="center"/>
          </w:tcPr>
          <w:p w:rsidR="001B547B" w:rsidRDefault="001B547B" w:rsidP="00864ACB">
            <w:pPr>
              <w:rPr>
                <w:szCs w:val="21"/>
              </w:rPr>
            </w:pPr>
            <w:r>
              <w:t>王毓</w:t>
            </w:r>
          </w:p>
        </w:tc>
        <w:tc>
          <w:tcPr>
            <w:tcW w:w="864" w:type="pct"/>
            <w:shd w:val="clear" w:color="auto" w:fill="auto"/>
            <w:vAlign w:val="center"/>
          </w:tcPr>
          <w:p w:rsidR="001B547B" w:rsidRDefault="001B547B" w:rsidP="00864ACB">
            <w:pPr>
              <w:jc w:val="right"/>
              <w:rPr>
                <w:szCs w:val="21"/>
              </w:rPr>
            </w:pPr>
            <w:r>
              <w:t>834,716</w:t>
            </w:r>
          </w:p>
        </w:tc>
        <w:tc>
          <w:tcPr>
            <w:tcW w:w="625" w:type="pct"/>
            <w:shd w:val="clear" w:color="auto" w:fill="auto"/>
            <w:vAlign w:val="center"/>
          </w:tcPr>
          <w:p w:rsidR="001B547B" w:rsidRDefault="001B547B" w:rsidP="00864ACB">
            <w:pPr>
              <w:jc w:val="right"/>
              <w:rPr>
                <w:szCs w:val="21"/>
              </w:rPr>
            </w:pPr>
            <w:r>
              <w:t>0.24</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1391" w:type="pct"/>
            <w:shd w:val="clear" w:color="auto" w:fill="auto"/>
            <w:vAlign w:val="center"/>
          </w:tcPr>
          <w:p w:rsidR="001B547B" w:rsidRDefault="001B547B" w:rsidP="00864ACB">
            <w:pPr>
              <w:rPr>
                <w:szCs w:val="21"/>
              </w:rPr>
            </w:pPr>
            <w:r>
              <w:t>林珍</w:t>
            </w:r>
          </w:p>
        </w:tc>
        <w:tc>
          <w:tcPr>
            <w:tcW w:w="864" w:type="pct"/>
            <w:shd w:val="clear" w:color="auto" w:fill="auto"/>
            <w:vAlign w:val="center"/>
          </w:tcPr>
          <w:p w:rsidR="001B547B" w:rsidRDefault="001B547B" w:rsidP="00864ACB">
            <w:pPr>
              <w:jc w:val="right"/>
              <w:rPr>
                <w:szCs w:val="21"/>
              </w:rPr>
            </w:pPr>
            <w:r>
              <w:t>820,000</w:t>
            </w:r>
          </w:p>
        </w:tc>
        <w:tc>
          <w:tcPr>
            <w:tcW w:w="625" w:type="pct"/>
            <w:shd w:val="clear" w:color="auto" w:fill="auto"/>
            <w:vAlign w:val="center"/>
          </w:tcPr>
          <w:p w:rsidR="001B547B" w:rsidRDefault="001B547B" w:rsidP="00864ACB">
            <w:pPr>
              <w:jc w:val="right"/>
              <w:rPr>
                <w:szCs w:val="21"/>
              </w:rPr>
            </w:pPr>
            <w:r>
              <w:t>0.23</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1391" w:type="pct"/>
            <w:shd w:val="clear" w:color="auto" w:fill="auto"/>
            <w:vAlign w:val="center"/>
          </w:tcPr>
          <w:p w:rsidR="001B547B" w:rsidRDefault="001B547B" w:rsidP="00864ACB">
            <w:pPr>
              <w:rPr>
                <w:szCs w:val="21"/>
              </w:rPr>
            </w:pPr>
            <w:r>
              <w:t>钱荣光</w:t>
            </w:r>
          </w:p>
        </w:tc>
        <w:tc>
          <w:tcPr>
            <w:tcW w:w="864" w:type="pct"/>
            <w:shd w:val="clear" w:color="auto" w:fill="auto"/>
            <w:vAlign w:val="center"/>
          </w:tcPr>
          <w:p w:rsidR="001B547B" w:rsidRDefault="001B547B" w:rsidP="00864ACB">
            <w:pPr>
              <w:jc w:val="right"/>
              <w:rPr>
                <w:szCs w:val="21"/>
              </w:rPr>
            </w:pPr>
            <w:r>
              <w:t>750,100</w:t>
            </w:r>
          </w:p>
        </w:tc>
        <w:tc>
          <w:tcPr>
            <w:tcW w:w="625" w:type="pct"/>
            <w:shd w:val="clear" w:color="auto" w:fill="auto"/>
            <w:vAlign w:val="center"/>
          </w:tcPr>
          <w:p w:rsidR="001B547B" w:rsidRDefault="001B547B" w:rsidP="00864ACB">
            <w:pPr>
              <w:jc w:val="right"/>
              <w:rPr>
                <w:szCs w:val="21"/>
              </w:rPr>
            </w:pPr>
            <w:r>
              <w:t>0.21</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1391" w:type="pct"/>
            <w:shd w:val="clear" w:color="auto" w:fill="auto"/>
            <w:vAlign w:val="center"/>
          </w:tcPr>
          <w:p w:rsidR="001B547B" w:rsidRDefault="001B547B" w:rsidP="00864ACB">
            <w:pPr>
              <w:rPr>
                <w:szCs w:val="21"/>
              </w:rPr>
            </w:pPr>
            <w:r>
              <w:t>华梅</w:t>
            </w:r>
          </w:p>
        </w:tc>
        <w:tc>
          <w:tcPr>
            <w:tcW w:w="864" w:type="pct"/>
            <w:shd w:val="clear" w:color="auto" w:fill="auto"/>
            <w:vAlign w:val="center"/>
          </w:tcPr>
          <w:p w:rsidR="001B547B" w:rsidRDefault="001B547B" w:rsidP="00864ACB">
            <w:pPr>
              <w:jc w:val="right"/>
              <w:rPr>
                <w:szCs w:val="21"/>
              </w:rPr>
            </w:pPr>
            <w:r>
              <w:t>616,200</w:t>
            </w:r>
          </w:p>
        </w:tc>
        <w:tc>
          <w:tcPr>
            <w:tcW w:w="625" w:type="pct"/>
            <w:shd w:val="clear" w:color="auto" w:fill="auto"/>
            <w:vAlign w:val="center"/>
          </w:tcPr>
          <w:p w:rsidR="001B547B" w:rsidRDefault="001B547B" w:rsidP="00864ACB">
            <w:pPr>
              <w:jc w:val="right"/>
              <w:rPr>
                <w:szCs w:val="21"/>
              </w:rPr>
            </w:pPr>
            <w:r>
              <w:t>0.17</w:t>
            </w:r>
          </w:p>
        </w:tc>
        <w:tc>
          <w:tcPr>
            <w:tcW w:w="391" w:type="pct"/>
            <w:shd w:val="clear" w:color="auto" w:fill="auto"/>
            <w:vAlign w:val="center"/>
          </w:tcPr>
          <w:p w:rsidR="001B547B" w:rsidRDefault="001B547B" w:rsidP="00864ACB">
            <w:pPr>
              <w:jc w:val="right"/>
              <w:rPr>
                <w:szCs w:val="21"/>
              </w:rPr>
            </w:pPr>
          </w:p>
        </w:tc>
        <w:tc>
          <w:tcPr>
            <w:tcW w:w="907" w:type="pct"/>
            <w:gridSpan w:val="2"/>
            <w:shd w:val="clear" w:color="auto" w:fill="auto"/>
            <w:vAlign w:val="center"/>
          </w:tcPr>
          <w:p w:rsidR="001B547B" w:rsidRDefault="001B547B" w:rsidP="00864ACB">
            <w:pPr>
              <w:jc w:val="center"/>
              <w:rPr>
                <w:color w:val="FF9900"/>
                <w:szCs w:val="21"/>
              </w:rPr>
            </w:pPr>
            <w:r>
              <w:rPr>
                <w:rFonts w:hint="eastAsia"/>
                <w:szCs w:val="21"/>
              </w:rPr>
              <w:t>未知</w:t>
            </w:r>
          </w:p>
        </w:tc>
        <w:tc>
          <w:tcPr>
            <w:tcW w:w="246" w:type="pct"/>
            <w:shd w:val="clear" w:color="auto" w:fill="auto"/>
            <w:vAlign w:val="center"/>
          </w:tcPr>
          <w:p w:rsidR="001B547B" w:rsidRDefault="001B547B" w:rsidP="00864ACB">
            <w:pPr>
              <w:jc w:val="right"/>
              <w:rPr>
                <w:szCs w:val="21"/>
              </w:rPr>
            </w:pPr>
          </w:p>
        </w:tc>
        <w:tc>
          <w:tcPr>
            <w:tcW w:w="576" w:type="pct"/>
            <w:shd w:val="clear" w:color="auto" w:fill="auto"/>
            <w:vAlign w:val="center"/>
          </w:tcPr>
          <w:p w:rsidR="001B547B" w:rsidRDefault="001B547B" w:rsidP="00864ACB">
            <w:pPr>
              <w:jc w:val="center"/>
              <w:rPr>
                <w:color w:val="FF9900"/>
                <w:szCs w:val="21"/>
              </w:rPr>
            </w:pPr>
            <w:r>
              <w:rPr>
                <w:rFonts w:hint="eastAsia"/>
                <w:szCs w:val="21"/>
              </w:rPr>
              <w:t>其他</w:t>
            </w:r>
          </w:p>
        </w:tc>
      </w:tr>
      <w:tr w:rsidR="001B547B" w:rsidTr="00864ACB">
        <w:trPr>
          <w:cantSplit/>
        </w:trPr>
        <w:tc>
          <w:tcPr>
            <w:tcW w:w="5000" w:type="pct"/>
            <w:gridSpan w:val="8"/>
            <w:shd w:val="clear" w:color="auto" w:fill="auto"/>
          </w:tcPr>
          <w:p w:rsidR="001B547B" w:rsidRDefault="001B547B" w:rsidP="00864ACB">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1B547B" w:rsidTr="00864ACB">
        <w:trPr>
          <w:cantSplit/>
        </w:trPr>
        <w:tc>
          <w:tcPr>
            <w:tcW w:w="2255" w:type="pct"/>
            <w:gridSpan w:val="2"/>
            <w:vMerge w:val="restart"/>
            <w:shd w:val="clear" w:color="auto" w:fill="auto"/>
          </w:tcPr>
          <w:p w:rsidR="001B547B" w:rsidRDefault="001B547B" w:rsidP="00864ACB">
            <w:pPr>
              <w:rPr>
                <w:color w:val="FF9900"/>
                <w:szCs w:val="21"/>
              </w:rPr>
            </w:pPr>
            <w:r>
              <w:t>股东名称</w:t>
            </w:r>
          </w:p>
        </w:tc>
        <w:tc>
          <w:tcPr>
            <w:tcW w:w="1016" w:type="pct"/>
            <w:gridSpan w:val="2"/>
            <w:vMerge w:val="restart"/>
            <w:shd w:val="clear" w:color="auto" w:fill="auto"/>
          </w:tcPr>
          <w:p w:rsidR="001B547B" w:rsidRDefault="001B547B" w:rsidP="00864ACB">
            <w:pPr>
              <w:jc w:val="center"/>
              <w:rPr>
                <w:color w:val="FF9900"/>
                <w:szCs w:val="21"/>
              </w:rPr>
            </w:pPr>
            <w:r>
              <w:t>持有无限</w:t>
            </w:r>
            <w:proofErr w:type="gramStart"/>
            <w:r>
              <w:t>售条件</w:t>
            </w:r>
            <w:proofErr w:type="gramEnd"/>
            <w:r>
              <w:t>流通股的数量</w:t>
            </w:r>
          </w:p>
        </w:tc>
        <w:tc>
          <w:tcPr>
            <w:tcW w:w="1729" w:type="pct"/>
            <w:gridSpan w:val="4"/>
            <w:tcBorders>
              <w:bottom w:val="single" w:sz="4" w:space="0" w:color="auto"/>
            </w:tcBorders>
            <w:shd w:val="clear" w:color="auto" w:fill="auto"/>
          </w:tcPr>
          <w:p w:rsidR="001B547B" w:rsidRDefault="001B547B" w:rsidP="00864ACB">
            <w:pPr>
              <w:jc w:val="center"/>
              <w:rPr>
                <w:color w:val="FF9900"/>
                <w:szCs w:val="21"/>
              </w:rPr>
            </w:pPr>
            <w:r>
              <w:rPr>
                <w:szCs w:val="21"/>
              </w:rPr>
              <w:t>股份种类</w:t>
            </w:r>
            <w:r>
              <w:rPr>
                <w:rFonts w:hint="eastAsia"/>
                <w:szCs w:val="21"/>
              </w:rPr>
              <w:t>及数量</w:t>
            </w:r>
          </w:p>
        </w:tc>
      </w:tr>
      <w:tr w:rsidR="001B547B" w:rsidTr="00864ACB">
        <w:trPr>
          <w:cantSplit/>
        </w:trPr>
        <w:tc>
          <w:tcPr>
            <w:tcW w:w="2255" w:type="pct"/>
            <w:gridSpan w:val="2"/>
            <w:vMerge/>
            <w:shd w:val="clear" w:color="auto" w:fill="auto"/>
          </w:tcPr>
          <w:p w:rsidR="001B547B" w:rsidRDefault="001B547B" w:rsidP="00864ACB">
            <w:pPr>
              <w:rPr>
                <w:color w:val="FF9900"/>
                <w:szCs w:val="21"/>
              </w:rPr>
            </w:pPr>
          </w:p>
        </w:tc>
        <w:tc>
          <w:tcPr>
            <w:tcW w:w="1016" w:type="pct"/>
            <w:gridSpan w:val="2"/>
            <w:vMerge/>
            <w:shd w:val="clear" w:color="auto" w:fill="auto"/>
          </w:tcPr>
          <w:p w:rsidR="001B547B" w:rsidRDefault="001B547B" w:rsidP="00864ACB">
            <w:pPr>
              <w:rPr>
                <w:color w:val="FF9900"/>
                <w:szCs w:val="21"/>
              </w:rPr>
            </w:pPr>
          </w:p>
        </w:tc>
        <w:tc>
          <w:tcPr>
            <w:tcW w:w="866" w:type="pct"/>
            <w:shd w:val="clear" w:color="auto" w:fill="auto"/>
            <w:vAlign w:val="center"/>
          </w:tcPr>
          <w:p w:rsidR="001B547B" w:rsidRDefault="001B547B" w:rsidP="00864ACB">
            <w:pPr>
              <w:jc w:val="center"/>
              <w:rPr>
                <w:color w:val="008000"/>
                <w:szCs w:val="21"/>
              </w:rPr>
            </w:pPr>
            <w:r>
              <w:rPr>
                <w:rFonts w:hint="eastAsia"/>
                <w:szCs w:val="21"/>
              </w:rPr>
              <w:t>种类</w:t>
            </w:r>
          </w:p>
        </w:tc>
        <w:tc>
          <w:tcPr>
            <w:tcW w:w="863" w:type="pct"/>
            <w:gridSpan w:val="3"/>
            <w:shd w:val="clear" w:color="auto" w:fill="auto"/>
          </w:tcPr>
          <w:p w:rsidR="001B547B" w:rsidRDefault="001B547B" w:rsidP="00864ACB">
            <w:pPr>
              <w:jc w:val="center"/>
              <w:rPr>
                <w:color w:val="008000"/>
                <w:szCs w:val="21"/>
              </w:rPr>
            </w:pPr>
            <w:r>
              <w:rPr>
                <w:rFonts w:cs="宋体" w:hint="eastAsia"/>
                <w:szCs w:val="21"/>
              </w:rPr>
              <w:t>数量</w:t>
            </w:r>
          </w:p>
        </w:tc>
      </w:tr>
      <w:tr w:rsidR="001B547B" w:rsidTr="00864ACB">
        <w:trPr>
          <w:cantSplit/>
        </w:trPr>
        <w:tc>
          <w:tcPr>
            <w:tcW w:w="2255" w:type="pct"/>
            <w:gridSpan w:val="2"/>
            <w:shd w:val="clear" w:color="auto" w:fill="auto"/>
            <w:vAlign w:val="center"/>
          </w:tcPr>
          <w:p w:rsidR="001B547B" w:rsidRDefault="001B547B" w:rsidP="00864ACB">
            <w:pPr>
              <w:rPr>
                <w:szCs w:val="21"/>
              </w:rPr>
            </w:pPr>
            <w:r>
              <w:t>中国水</w:t>
            </w:r>
            <w:proofErr w:type="gramStart"/>
            <w:r>
              <w:t>务</w:t>
            </w:r>
            <w:proofErr w:type="gramEnd"/>
            <w:r>
              <w:t>投资有限公司</w:t>
            </w:r>
          </w:p>
        </w:tc>
        <w:tc>
          <w:tcPr>
            <w:tcW w:w="1016" w:type="pct"/>
            <w:gridSpan w:val="2"/>
            <w:shd w:val="clear" w:color="auto" w:fill="auto"/>
            <w:vAlign w:val="center"/>
          </w:tcPr>
          <w:p w:rsidR="001B547B" w:rsidRDefault="001B547B" w:rsidP="00864ACB">
            <w:pPr>
              <w:jc w:val="right"/>
              <w:rPr>
                <w:szCs w:val="21"/>
              </w:rPr>
            </w:pPr>
            <w:r>
              <w:t>118,436,629</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118,436,629</w:t>
            </w:r>
          </w:p>
        </w:tc>
      </w:tr>
      <w:tr w:rsidR="001B547B" w:rsidTr="00864ACB">
        <w:trPr>
          <w:cantSplit/>
        </w:trPr>
        <w:tc>
          <w:tcPr>
            <w:tcW w:w="2255" w:type="pct"/>
            <w:gridSpan w:val="2"/>
            <w:shd w:val="clear" w:color="auto" w:fill="auto"/>
            <w:vAlign w:val="center"/>
          </w:tcPr>
          <w:p w:rsidR="001B547B" w:rsidRDefault="001B547B" w:rsidP="00864ACB">
            <w:pPr>
              <w:rPr>
                <w:szCs w:val="21"/>
              </w:rPr>
            </w:pPr>
            <w:r>
              <w:t>浙江省新能源投资集团股份有限公司</w:t>
            </w:r>
          </w:p>
        </w:tc>
        <w:tc>
          <w:tcPr>
            <w:tcW w:w="1016" w:type="pct"/>
            <w:gridSpan w:val="2"/>
            <w:shd w:val="clear" w:color="auto" w:fill="auto"/>
            <w:vAlign w:val="center"/>
          </w:tcPr>
          <w:p w:rsidR="001B547B" w:rsidRDefault="001B547B" w:rsidP="00864ACB">
            <w:pPr>
              <w:jc w:val="right"/>
              <w:rPr>
                <w:szCs w:val="21"/>
              </w:rPr>
            </w:pPr>
            <w:r>
              <w:t>89,802,172</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89,802,172</w:t>
            </w:r>
          </w:p>
        </w:tc>
      </w:tr>
      <w:tr w:rsidR="001B547B" w:rsidTr="00864ACB">
        <w:trPr>
          <w:cantSplit/>
        </w:trPr>
        <w:tc>
          <w:tcPr>
            <w:tcW w:w="2255" w:type="pct"/>
            <w:gridSpan w:val="2"/>
            <w:shd w:val="clear" w:color="auto" w:fill="auto"/>
            <w:vAlign w:val="center"/>
          </w:tcPr>
          <w:p w:rsidR="001B547B" w:rsidRDefault="001B547B" w:rsidP="00864ACB">
            <w:pPr>
              <w:rPr>
                <w:szCs w:val="21"/>
              </w:rPr>
            </w:pPr>
            <w:r>
              <w:t>钱江硅谷控股有限责任公司</w:t>
            </w:r>
          </w:p>
        </w:tc>
        <w:tc>
          <w:tcPr>
            <w:tcW w:w="1016" w:type="pct"/>
            <w:gridSpan w:val="2"/>
            <w:shd w:val="clear" w:color="auto" w:fill="auto"/>
            <w:vAlign w:val="center"/>
          </w:tcPr>
          <w:p w:rsidR="001B547B" w:rsidRDefault="001B547B" w:rsidP="00864ACB">
            <w:pPr>
              <w:jc w:val="right"/>
              <w:rPr>
                <w:szCs w:val="21"/>
              </w:rPr>
            </w:pPr>
            <w:r>
              <w:t>22,729,832</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22,729,832</w:t>
            </w:r>
          </w:p>
        </w:tc>
      </w:tr>
      <w:tr w:rsidR="001B547B" w:rsidTr="00864ACB">
        <w:trPr>
          <w:cantSplit/>
        </w:trPr>
        <w:tc>
          <w:tcPr>
            <w:tcW w:w="2255" w:type="pct"/>
            <w:gridSpan w:val="2"/>
            <w:shd w:val="clear" w:color="auto" w:fill="auto"/>
            <w:vAlign w:val="center"/>
          </w:tcPr>
          <w:p w:rsidR="001B547B" w:rsidRDefault="001B547B" w:rsidP="00864ACB">
            <w:pPr>
              <w:rPr>
                <w:szCs w:val="21"/>
              </w:rPr>
            </w:pPr>
            <w:r>
              <w:t>浙江省水电实业公司</w:t>
            </w:r>
          </w:p>
        </w:tc>
        <w:tc>
          <w:tcPr>
            <w:tcW w:w="1016" w:type="pct"/>
            <w:gridSpan w:val="2"/>
            <w:shd w:val="clear" w:color="auto" w:fill="auto"/>
            <w:vAlign w:val="center"/>
          </w:tcPr>
          <w:p w:rsidR="001B547B" w:rsidRDefault="001B547B" w:rsidP="00864ACB">
            <w:pPr>
              <w:jc w:val="right"/>
              <w:rPr>
                <w:szCs w:val="21"/>
              </w:rPr>
            </w:pPr>
            <w:r>
              <w:t>16,077,044</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16,077,044</w:t>
            </w:r>
          </w:p>
        </w:tc>
      </w:tr>
      <w:tr w:rsidR="001B547B" w:rsidTr="00864ACB">
        <w:trPr>
          <w:cantSplit/>
        </w:trPr>
        <w:tc>
          <w:tcPr>
            <w:tcW w:w="2255" w:type="pct"/>
            <w:gridSpan w:val="2"/>
            <w:shd w:val="clear" w:color="auto" w:fill="auto"/>
            <w:vAlign w:val="center"/>
          </w:tcPr>
          <w:p w:rsidR="001B547B" w:rsidRDefault="001B547B" w:rsidP="00864ACB">
            <w:pPr>
              <w:rPr>
                <w:szCs w:val="21"/>
              </w:rPr>
            </w:pPr>
            <w:r>
              <w:t>叶德资</w:t>
            </w:r>
          </w:p>
        </w:tc>
        <w:tc>
          <w:tcPr>
            <w:tcW w:w="1016" w:type="pct"/>
            <w:gridSpan w:val="2"/>
            <w:shd w:val="clear" w:color="auto" w:fill="auto"/>
            <w:vAlign w:val="center"/>
          </w:tcPr>
          <w:p w:rsidR="001B547B" w:rsidRDefault="001B547B" w:rsidP="00864ACB">
            <w:pPr>
              <w:jc w:val="right"/>
              <w:rPr>
                <w:szCs w:val="21"/>
              </w:rPr>
            </w:pPr>
            <w:r>
              <w:t>1,761,442</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1,761,442</w:t>
            </w:r>
          </w:p>
        </w:tc>
      </w:tr>
      <w:tr w:rsidR="001B547B" w:rsidTr="00864ACB">
        <w:trPr>
          <w:cantSplit/>
        </w:trPr>
        <w:tc>
          <w:tcPr>
            <w:tcW w:w="2255" w:type="pct"/>
            <w:gridSpan w:val="2"/>
            <w:shd w:val="clear" w:color="auto" w:fill="auto"/>
            <w:vAlign w:val="center"/>
          </w:tcPr>
          <w:p w:rsidR="001B547B" w:rsidRDefault="001B547B" w:rsidP="00864ACB">
            <w:pPr>
              <w:rPr>
                <w:szCs w:val="21"/>
              </w:rPr>
            </w:pPr>
            <w:r>
              <w:t>高建勇</w:t>
            </w:r>
          </w:p>
        </w:tc>
        <w:tc>
          <w:tcPr>
            <w:tcW w:w="1016" w:type="pct"/>
            <w:gridSpan w:val="2"/>
            <w:shd w:val="clear" w:color="auto" w:fill="auto"/>
            <w:vAlign w:val="center"/>
          </w:tcPr>
          <w:p w:rsidR="001B547B" w:rsidRDefault="001B547B" w:rsidP="00864ACB">
            <w:pPr>
              <w:jc w:val="right"/>
              <w:rPr>
                <w:szCs w:val="21"/>
              </w:rPr>
            </w:pPr>
            <w:r>
              <w:t>1,521,205</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1,521,205</w:t>
            </w:r>
          </w:p>
        </w:tc>
      </w:tr>
      <w:tr w:rsidR="001B547B" w:rsidTr="00864ACB">
        <w:trPr>
          <w:cantSplit/>
        </w:trPr>
        <w:tc>
          <w:tcPr>
            <w:tcW w:w="2255" w:type="pct"/>
            <w:gridSpan w:val="2"/>
            <w:shd w:val="clear" w:color="auto" w:fill="auto"/>
            <w:vAlign w:val="center"/>
          </w:tcPr>
          <w:p w:rsidR="001B547B" w:rsidRDefault="001B547B" w:rsidP="00864ACB">
            <w:pPr>
              <w:rPr>
                <w:szCs w:val="21"/>
              </w:rPr>
            </w:pPr>
            <w:r>
              <w:t>王毓</w:t>
            </w:r>
          </w:p>
        </w:tc>
        <w:tc>
          <w:tcPr>
            <w:tcW w:w="1016" w:type="pct"/>
            <w:gridSpan w:val="2"/>
            <w:shd w:val="clear" w:color="auto" w:fill="auto"/>
            <w:vAlign w:val="center"/>
          </w:tcPr>
          <w:p w:rsidR="001B547B" w:rsidRDefault="001B547B" w:rsidP="00864ACB">
            <w:pPr>
              <w:jc w:val="right"/>
              <w:rPr>
                <w:szCs w:val="21"/>
              </w:rPr>
            </w:pPr>
            <w:r>
              <w:t>834,716</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834,716</w:t>
            </w:r>
          </w:p>
        </w:tc>
      </w:tr>
      <w:tr w:rsidR="001B547B" w:rsidTr="00864ACB">
        <w:trPr>
          <w:cantSplit/>
        </w:trPr>
        <w:tc>
          <w:tcPr>
            <w:tcW w:w="2255" w:type="pct"/>
            <w:gridSpan w:val="2"/>
            <w:shd w:val="clear" w:color="auto" w:fill="auto"/>
            <w:vAlign w:val="center"/>
          </w:tcPr>
          <w:p w:rsidR="001B547B" w:rsidRDefault="001B547B" w:rsidP="00864ACB">
            <w:pPr>
              <w:rPr>
                <w:szCs w:val="21"/>
              </w:rPr>
            </w:pPr>
            <w:r>
              <w:t>林珍</w:t>
            </w:r>
          </w:p>
        </w:tc>
        <w:tc>
          <w:tcPr>
            <w:tcW w:w="1016" w:type="pct"/>
            <w:gridSpan w:val="2"/>
            <w:shd w:val="clear" w:color="auto" w:fill="auto"/>
            <w:vAlign w:val="center"/>
          </w:tcPr>
          <w:p w:rsidR="001B547B" w:rsidRDefault="001B547B" w:rsidP="00864ACB">
            <w:pPr>
              <w:jc w:val="right"/>
              <w:rPr>
                <w:szCs w:val="21"/>
              </w:rPr>
            </w:pPr>
            <w:r>
              <w:t>820,000</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820,000</w:t>
            </w:r>
          </w:p>
        </w:tc>
      </w:tr>
      <w:tr w:rsidR="001B547B" w:rsidTr="00864ACB">
        <w:trPr>
          <w:cantSplit/>
        </w:trPr>
        <w:tc>
          <w:tcPr>
            <w:tcW w:w="2255" w:type="pct"/>
            <w:gridSpan w:val="2"/>
            <w:shd w:val="clear" w:color="auto" w:fill="auto"/>
            <w:vAlign w:val="center"/>
          </w:tcPr>
          <w:p w:rsidR="001B547B" w:rsidRDefault="001B547B" w:rsidP="00864ACB">
            <w:pPr>
              <w:rPr>
                <w:szCs w:val="21"/>
              </w:rPr>
            </w:pPr>
            <w:r>
              <w:t>钱荣光</w:t>
            </w:r>
          </w:p>
        </w:tc>
        <w:tc>
          <w:tcPr>
            <w:tcW w:w="1016" w:type="pct"/>
            <w:gridSpan w:val="2"/>
            <w:shd w:val="clear" w:color="auto" w:fill="auto"/>
            <w:vAlign w:val="center"/>
          </w:tcPr>
          <w:p w:rsidR="001B547B" w:rsidRDefault="001B547B" w:rsidP="00864ACB">
            <w:pPr>
              <w:jc w:val="right"/>
              <w:rPr>
                <w:szCs w:val="21"/>
              </w:rPr>
            </w:pPr>
            <w:r>
              <w:t>750,100</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750,100</w:t>
            </w:r>
          </w:p>
        </w:tc>
      </w:tr>
      <w:tr w:rsidR="001B547B" w:rsidTr="00864ACB">
        <w:trPr>
          <w:cantSplit/>
        </w:trPr>
        <w:tc>
          <w:tcPr>
            <w:tcW w:w="2255" w:type="pct"/>
            <w:gridSpan w:val="2"/>
            <w:shd w:val="clear" w:color="auto" w:fill="auto"/>
            <w:vAlign w:val="center"/>
          </w:tcPr>
          <w:p w:rsidR="001B547B" w:rsidRDefault="001B547B" w:rsidP="00864ACB">
            <w:pPr>
              <w:rPr>
                <w:szCs w:val="21"/>
              </w:rPr>
            </w:pPr>
            <w:r>
              <w:t>华梅</w:t>
            </w:r>
          </w:p>
        </w:tc>
        <w:tc>
          <w:tcPr>
            <w:tcW w:w="1016" w:type="pct"/>
            <w:gridSpan w:val="2"/>
            <w:shd w:val="clear" w:color="auto" w:fill="auto"/>
            <w:vAlign w:val="center"/>
          </w:tcPr>
          <w:p w:rsidR="001B547B" w:rsidRDefault="001B547B" w:rsidP="00864ACB">
            <w:pPr>
              <w:jc w:val="right"/>
              <w:rPr>
                <w:szCs w:val="21"/>
              </w:rPr>
            </w:pPr>
            <w:r>
              <w:t>616,200</w:t>
            </w:r>
          </w:p>
        </w:tc>
        <w:tc>
          <w:tcPr>
            <w:tcW w:w="866" w:type="pct"/>
            <w:shd w:val="clear" w:color="auto" w:fill="auto"/>
            <w:vAlign w:val="center"/>
          </w:tcPr>
          <w:p w:rsidR="001B547B" w:rsidRDefault="001B547B" w:rsidP="00864ACB">
            <w:pPr>
              <w:jc w:val="center"/>
              <w:rPr>
                <w:bCs/>
                <w:szCs w:val="21"/>
              </w:rPr>
            </w:pPr>
            <w:r>
              <w:rPr>
                <w:rFonts w:hint="eastAsia"/>
                <w:bCs/>
                <w:szCs w:val="21"/>
              </w:rPr>
              <w:t>人民币普通股</w:t>
            </w:r>
          </w:p>
        </w:tc>
        <w:tc>
          <w:tcPr>
            <w:tcW w:w="863" w:type="pct"/>
            <w:gridSpan w:val="3"/>
            <w:shd w:val="clear" w:color="auto" w:fill="auto"/>
            <w:vAlign w:val="center"/>
          </w:tcPr>
          <w:p w:rsidR="001B547B" w:rsidRDefault="001B547B" w:rsidP="00864ACB">
            <w:pPr>
              <w:jc w:val="right"/>
              <w:rPr>
                <w:szCs w:val="21"/>
              </w:rPr>
            </w:pPr>
            <w:r>
              <w:t>616,200</w:t>
            </w:r>
          </w:p>
        </w:tc>
      </w:tr>
      <w:tr w:rsidR="001B547B" w:rsidTr="00864ACB">
        <w:trPr>
          <w:cantSplit/>
        </w:trPr>
        <w:tc>
          <w:tcPr>
            <w:tcW w:w="2255" w:type="pct"/>
            <w:gridSpan w:val="2"/>
            <w:shd w:val="clear" w:color="auto" w:fill="auto"/>
          </w:tcPr>
          <w:p w:rsidR="001B547B" w:rsidRDefault="001B547B" w:rsidP="00864ACB">
            <w:pPr>
              <w:rPr>
                <w:szCs w:val="21"/>
              </w:rPr>
            </w:pPr>
            <w:r>
              <w:rPr>
                <w:szCs w:val="21"/>
              </w:rPr>
              <w:lastRenderedPageBreak/>
              <w:t>上述股东关联关系或一致行动的说明</w:t>
            </w:r>
          </w:p>
        </w:tc>
        <w:tc>
          <w:tcPr>
            <w:tcW w:w="2745" w:type="pct"/>
            <w:gridSpan w:val="6"/>
            <w:shd w:val="clear" w:color="auto" w:fill="auto"/>
          </w:tcPr>
          <w:p w:rsidR="001B547B" w:rsidRDefault="001B547B" w:rsidP="00864ACB">
            <w:pPr>
              <w:rPr>
                <w:szCs w:val="21"/>
              </w:rPr>
            </w:pPr>
            <w:r>
              <w:rPr>
                <w:rFonts w:hint="eastAsia"/>
                <w:szCs w:val="21"/>
              </w:rPr>
              <w:t>钱江硅谷控股责任有限公司是中国水</w:t>
            </w:r>
            <w:proofErr w:type="gramStart"/>
            <w:r>
              <w:rPr>
                <w:rFonts w:hint="eastAsia"/>
                <w:szCs w:val="21"/>
              </w:rPr>
              <w:t>务</w:t>
            </w:r>
            <w:proofErr w:type="gramEnd"/>
            <w:r>
              <w:rPr>
                <w:rFonts w:hint="eastAsia"/>
                <w:szCs w:val="21"/>
              </w:rPr>
              <w:t>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p w:rsidR="001B547B" w:rsidRDefault="001B547B" w:rsidP="00864ACB">
            <w:pPr>
              <w:rPr>
                <w:szCs w:val="21"/>
              </w:rPr>
            </w:pPr>
          </w:p>
        </w:tc>
      </w:tr>
    </w:tbl>
    <w:p w:rsidR="001B547B" w:rsidRDefault="001B547B" w:rsidP="001B547B">
      <w:pPr>
        <w:ind w:rightChars="-662" w:right="-1390"/>
        <w:rPr>
          <w:bCs/>
          <w:color w:val="auto"/>
          <w:szCs w:val="21"/>
        </w:rPr>
      </w:pPr>
    </w:p>
    <w:p w:rsidR="001B547B" w:rsidRDefault="001B547B" w:rsidP="001B547B">
      <w:pPr>
        <w:ind w:rightChars="-662" w:right="-1390"/>
        <w:rPr>
          <w:bCs/>
          <w:color w:val="auto"/>
        </w:rPr>
      </w:pPr>
    </w:p>
    <w:p w:rsidR="001B547B" w:rsidRDefault="001B547B" w:rsidP="001B547B">
      <w:pPr>
        <w:pStyle w:val="2"/>
        <w:numPr>
          <w:ilvl w:val="0"/>
          <w:numId w:val="3"/>
        </w:numPr>
        <w:spacing w:line="240" w:lineRule="auto"/>
      </w:pPr>
      <w:bookmarkStart w:id="8" w:name="_Toc395718057"/>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p w:rsidR="001B547B" w:rsidRDefault="001B547B" w:rsidP="001B547B">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p w:rsidR="001B547B" w:rsidRDefault="001B547B" w:rsidP="001B547B">
      <w:pPr>
        <w:pStyle w:val="1"/>
        <w:numPr>
          <w:ilvl w:val="0"/>
          <w:numId w:val="1"/>
        </w:numPr>
        <w:tabs>
          <w:tab w:val="left" w:pos="434"/>
          <w:tab w:val="left" w:pos="882"/>
        </w:tabs>
        <w:spacing w:before="120" w:after="120"/>
        <w:rPr>
          <w:sz w:val="21"/>
          <w:szCs w:val="21"/>
        </w:rPr>
      </w:pPr>
      <w:bookmarkStart w:id="9" w:name="_Toc413833245"/>
      <w:bookmarkStart w:id="10" w:name="_Toc413833678"/>
      <w:r>
        <w:rPr>
          <w:sz w:val="21"/>
          <w:szCs w:val="21"/>
        </w:rPr>
        <w:t>重要事项</w:t>
      </w:r>
      <w:bookmarkEnd w:id="8"/>
      <w:bookmarkEnd w:id="9"/>
      <w:bookmarkEnd w:id="10"/>
    </w:p>
    <w:p w:rsidR="001B547B" w:rsidRDefault="001B547B" w:rsidP="001B547B">
      <w:pPr>
        <w:pStyle w:val="2"/>
        <w:numPr>
          <w:ilvl w:val="0"/>
          <w:numId w:val="4"/>
        </w:numPr>
        <w:spacing w:line="240" w:lineRule="auto"/>
        <w:rPr>
          <w:b/>
        </w:rPr>
      </w:pPr>
      <w:r>
        <w:t>公司主要会计报表项目、财务指标</w:t>
      </w:r>
      <w:r>
        <w:rPr>
          <w:rFonts w:hint="eastAsia"/>
        </w:rPr>
        <w:t>重大</w:t>
      </w:r>
      <w:r>
        <w:t>变动的情况及原因</w:t>
      </w:r>
    </w:p>
    <w:p w:rsidR="001B547B" w:rsidRDefault="001B547B" w:rsidP="001B547B">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1B547B" w:rsidRDefault="001B547B" w:rsidP="001B547B">
      <w:pPr>
        <w:autoSpaceDE w:val="0"/>
        <w:autoSpaceDN w:val="0"/>
        <w:adjustRightInd w:val="0"/>
        <w:jc w:val="both"/>
        <w:rPr>
          <w:color w:val="auto"/>
          <w:szCs w:val="21"/>
        </w:rPr>
      </w:pPr>
      <w:r>
        <w:rPr>
          <w:rFonts w:hint="eastAsia"/>
          <w:color w:val="auto"/>
          <w:szCs w:val="21"/>
        </w:rPr>
        <w:t>资产负债表科目变动说明：</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3"/>
        <w:gridCol w:w="1843"/>
        <w:gridCol w:w="992"/>
        <w:gridCol w:w="2460"/>
      </w:tblGrid>
      <w:tr w:rsidR="001B547B" w:rsidRPr="00D93BE2" w:rsidTr="00864ACB">
        <w:tc>
          <w:tcPr>
            <w:tcW w:w="1560" w:type="dxa"/>
          </w:tcPr>
          <w:p w:rsidR="001B547B" w:rsidRPr="00D93BE2" w:rsidRDefault="001B547B" w:rsidP="00864ACB">
            <w:pPr>
              <w:autoSpaceDE w:val="0"/>
              <w:autoSpaceDN w:val="0"/>
              <w:adjustRightInd w:val="0"/>
              <w:jc w:val="both"/>
              <w:rPr>
                <w:color w:val="auto"/>
                <w:szCs w:val="21"/>
              </w:rPr>
            </w:pPr>
            <w:r w:rsidRPr="00D93BE2">
              <w:rPr>
                <w:rFonts w:hint="eastAsia"/>
                <w:color w:val="auto"/>
                <w:szCs w:val="21"/>
              </w:rPr>
              <w:t>科目</w:t>
            </w:r>
          </w:p>
        </w:tc>
        <w:tc>
          <w:tcPr>
            <w:tcW w:w="1843" w:type="dxa"/>
          </w:tcPr>
          <w:p w:rsidR="001B547B" w:rsidRPr="00D93BE2" w:rsidRDefault="001B547B" w:rsidP="00864ACB">
            <w:pPr>
              <w:autoSpaceDE w:val="0"/>
              <w:autoSpaceDN w:val="0"/>
              <w:adjustRightInd w:val="0"/>
              <w:ind w:firstLineChars="300" w:firstLine="630"/>
              <w:jc w:val="both"/>
              <w:rPr>
                <w:color w:val="auto"/>
                <w:szCs w:val="21"/>
              </w:rPr>
            </w:pPr>
            <w:r w:rsidRPr="00D93BE2">
              <w:rPr>
                <w:rFonts w:hint="eastAsia"/>
                <w:color w:val="auto"/>
                <w:szCs w:val="21"/>
              </w:rPr>
              <w:t>期末数</w:t>
            </w:r>
          </w:p>
        </w:tc>
        <w:tc>
          <w:tcPr>
            <w:tcW w:w="1843" w:type="dxa"/>
          </w:tcPr>
          <w:p w:rsidR="001B547B" w:rsidRPr="00D93BE2" w:rsidRDefault="001B547B" w:rsidP="00864ACB">
            <w:pPr>
              <w:autoSpaceDE w:val="0"/>
              <w:autoSpaceDN w:val="0"/>
              <w:adjustRightInd w:val="0"/>
              <w:ind w:firstLineChars="200" w:firstLine="420"/>
              <w:jc w:val="both"/>
              <w:rPr>
                <w:color w:val="auto"/>
                <w:szCs w:val="21"/>
              </w:rPr>
            </w:pPr>
            <w:r w:rsidRPr="00D93BE2">
              <w:rPr>
                <w:rFonts w:hint="eastAsia"/>
                <w:color w:val="auto"/>
                <w:szCs w:val="21"/>
              </w:rPr>
              <w:t>期初数</w:t>
            </w:r>
          </w:p>
        </w:tc>
        <w:tc>
          <w:tcPr>
            <w:tcW w:w="992" w:type="dxa"/>
          </w:tcPr>
          <w:p w:rsidR="001B547B" w:rsidRPr="00D93BE2" w:rsidRDefault="001B547B" w:rsidP="00864ACB">
            <w:pPr>
              <w:autoSpaceDE w:val="0"/>
              <w:autoSpaceDN w:val="0"/>
              <w:adjustRightInd w:val="0"/>
              <w:jc w:val="both"/>
              <w:rPr>
                <w:color w:val="auto"/>
                <w:szCs w:val="21"/>
              </w:rPr>
            </w:pPr>
            <w:r w:rsidRPr="00D93BE2">
              <w:rPr>
                <w:rFonts w:hint="eastAsia"/>
                <w:color w:val="auto"/>
                <w:szCs w:val="21"/>
              </w:rPr>
              <w:t>增减幅度(%)</w:t>
            </w:r>
          </w:p>
        </w:tc>
        <w:tc>
          <w:tcPr>
            <w:tcW w:w="2460" w:type="dxa"/>
          </w:tcPr>
          <w:p w:rsidR="001B547B" w:rsidRPr="00D93BE2" w:rsidRDefault="001B547B" w:rsidP="00864ACB">
            <w:pPr>
              <w:autoSpaceDE w:val="0"/>
              <w:autoSpaceDN w:val="0"/>
              <w:adjustRightInd w:val="0"/>
              <w:ind w:firstLineChars="200" w:firstLine="420"/>
              <w:jc w:val="both"/>
              <w:rPr>
                <w:color w:val="auto"/>
                <w:szCs w:val="21"/>
              </w:rPr>
            </w:pPr>
            <w:r w:rsidRPr="00D93BE2">
              <w:rPr>
                <w:rFonts w:hint="eastAsia"/>
                <w:color w:val="auto"/>
                <w:szCs w:val="21"/>
              </w:rPr>
              <w:t>原因</w:t>
            </w:r>
          </w:p>
        </w:tc>
      </w:tr>
      <w:tr w:rsidR="001B547B" w:rsidRPr="00D93BE2" w:rsidTr="00864ACB">
        <w:tc>
          <w:tcPr>
            <w:tcW w:w="1560" w:type="dxa"/>
          </w:tcPr>
          <w:p w:rsidR="001B547B" w:rsidRPr="00D93BE2" w:rsidRDefault="001B547B" w:rsidP="00864ACB">
            <w:pPr>
              <w:rPr>
                <w:rFonts w:cs="宋体"/>
                <w:sz w:val="18"/>
                <w:szCs w:val="18"/>
              </w:rPr>
            </w:pPr>
            <w:r w:rsidRPr="004E5380">
              <w:t xml:space="preserve">  其他应收款</w:t>
            </w:r>
          </w:p>
        </w:tc>
        <w:tc>
          <w:tcPr>
            <w:tcW w:w="1843" w:type="dxa"/>
          </w:tcPr>
          <w:p w:rsidR="001B547B" w:rsidRPr="00D93BE2" w:rsidRDefault="001B547B" w:rsidP="00864ACB">
            <w:pPr>
              <w:jc w:val="right"/>
              <w:rPr>
                <w:rFonts w:cs="宋体"/>
                <w:sz w:val="22"/>
                <w:szCs w:val="22"/>
              </w:rPr>
            </w:pPr>
            <w:r w:rsidRPr="00701964">
              <w:t>40,029,562.42</w:t>
            </w:r>
          </w:p>
        </w:tc>
        <w:tc>
          <w:tcPr>
            <w:tcW w:w="1843" w:type="dxa"/>
          </w:tcPr>
          <w:p w:rsidR="001B547B" w:rsidRPr="00D93BE2" w:rsidRDefault="001B547B" w:rsidP="00864ACB">
            <w:pPr>
              <w:jc w:val="right"/>
              <w:rPr>
                <w:rFonts w:cs="宋体"/>
                <w:sz w:val="22"/>
                <w:szCs w:val="22"/>
              </w:rPr>
            </w:pPr>
            <w:r w:rsidRPr="003010BF">
              <w:t>28,010,031.72</w:t>
            </w:r>
          </w:p>
        </w:tc>
        <w:tc>
          <w:tcPr>
            <w:tcW w:w="992" w:type="dxa"/>
          </w:tcPr>
          <w:p w:rsidR="001B547B" w:rsidRPr="00D93BE2" w:rsidRDefault="001B547B" w:rsidP="00864ACB">
            <w:pPr>
              <w:jc w:val="right"/>
              <w:rPr>
                <w:rFonts w:cs="宋体"/>
                <w:sz w:val="22"/>
                <w:szCs w:val="22"/>
              </w:rPr>
            </w:pPr>
            <w:r>
              <w:t>42.91</w:t>
            </w:r>
          </w:p>
        </w:tc>
        <w:tc>
          <w:tcPr>
            <w:tcW w:w="2460" w:type="dxa"/>
          </w:tcPr>
          <w:p w:rsidR="001B547B" w:rsidRPr="00D93BE2" w:rsidRDefault="00B844EE" w:rsidP="00864ACB">
            <w:pPr>
              <w:rPr>
                <w:rFonts w:cs="宋体"/>
                <w:sz w:val="22"/>
                <w:szCs w:val="22"/>
              </w:rPr>
            </w:pPr>
            <w:r>
              <w:rPr>
                <w:rFonts w:hint="eastAsia"/>
              </w:rPr>
              <w:t>主要系应收暂付款中应收</w:t>
            </w:r>
            <w:r w:rsidR="001B547B" w:rsidRPr="00042DDE">
              <w:rPr>
                <w:rFonts w:hint="eastAsia"/>
              </w:rPr>
              <w:t>污水费增加所致。</w:t>
            </w:r>
          </w:p>
        </w:tc>
      </w:tr>
      <w:tr w:rsidR="001B547B" w:rsidRPr="00D93BE2" w:rsidTr="00864ACB">
        <w:tc>
          <w:tcPr>
            <w:tcW w:w="1560" w:type="dxa"/>
          </w:tcPr>
          <w:p w:rsidR="001B547B" w:rsidRPr="00D93BE2" w:rsidRDefault="001B547B" w:rsidP="00864ACB">
            <w:pPr>
              <w:rPr>
                <w:rFonts w:cs="宋体"/>
                <w:sz w:val="18"/>
                <w:szCs w:val="18"/>
              </w:rPr>
            </w:pPr>
            <w:r w:rsidRPr="004E5380">
              <w:t xml:space="preserve">  使用权资产</w:t>
            </w:r>
          </w:p>
        </w:tc>
        <w:tc>
          <w:tcPr>
            <w:tcW w:w="1843" w:type="dxa"/>
          </w:tcPr>
          <w:p w:rsidR="001B547B" w:rsidRPr="00D93BE2" w:rsidRDefault="001B547B" w:rsidP="00864ACB">
            <w:pPr>
              <w:jc w:val="right"/>
              <w:rPr>
                <w:rFonts w:cs="宋体"/>
                <w:sz w:val="22"/>
                <w:szCs w:val="22"/>
              </w:rPr>
            </w:pPr>
            <w:r w:rsidRPr="00701964">
              <w:t>5,313,614.93</w:t>
            </w:r>
          </w:p>
        </w:tc>
        <w:tc>
          <w:tcPr>
            <w:tcW w:w="1843" w:type="dxa"/>
          </w:tcPr>
          <w:p w:rsidR="001B547B" w:rsidRPr="00D93BE2" w:rsidRDefault="001B547B" w:rsidP="00864ACB">
            <w:pPr>
              <w:jc w:val="right"/>
              <w:rPr>
                <w:rFonts w:cs="宋体"/>
                <w:sz w:val="22"/>
                <w:szCs w:val="22"/>
              </w:rPr>
            </w:pPr>
          </w:p>
        </w:tc>
        <w:tc>
          <w:tcPr>
            <w:tcW w:w="992" w:type="dxa"/>
          </w:tcPr>
          <w:p w:rsidR="001B547B" w:rsidRPr="00D93BE2" w:rsidRDefault="001B547B" w:rsidP="00864ACB">
            <w:pPr>
              <w:jc w:val="right"/>
              <w:rPr>
                <w:rFonts w:cs="宋体"/>
                <w:sz w:val="22"/>
                <w:szCs w:val="22"/>
              </w:rPr>
            </w:pPr>
          </w:p>
        </w:tc>
        <w:tc>
          <w:tcPr>
            <w:tcW w:w="2460" w:type="dxa"/>
          </w:tcPr>
          <w:p w:rsidR="001B547B" w:rsidRPr="00D93BE2" w:rsidRDefault="001B547B" w:rsidP="00864ACB">
            <w:pPr>
              <w:rPr>
                <w:rFonts w:cs="宋体"/>
                <w:sz w:val="22"/>
                <w:szCs w:val="22"/>
              </w:rPr>
            </w:pPr>
            <w:r w:rsidRPr="00042DDE">
              <w:rPr>
                <w:rFonts w:hint="eastAsia"/>
              </w:rPr>
              <w:t>主要系本期执行新租赁准则确认使用权资产所致；</w:t>
            </w:r>
          </w:p>
        </w:tc>
      </w:tr>
      <w:tr w:rsidR="001B547B" w:rsidRPr="00D93BE2" w:rsidTr="00864ACB">
        <w:tc>
          <w:tcPr>
            <w:tcW w:w="1560" w:type="dxa"/>
          </w:tcPr>
          <w:p w:rsidR="001B547B" w:rsidRPr="00D93BE2" w:rsidRDefault="001B547B" w:rsidP="00864ACB">
            <w:pPr>
              <w:rPr>
                <w:rFonts w:cs="宋体"/>
                <w:sz w:val="18"/>
                <w:szCs w:val="18"/>
              </w:rPr>
            </w:pPr>
            <w:r w:rsidRPr="004E5380">
              <w:t xml:space="preserve">  预收款项</w:t>
            </w:r>
          </w:p>
        </w:tc>
        <w:tc>
          <w:tcPr>
            <w:tcW w:w="1843" w:type="dxa"/>
          </w:tcPr>
          <w:p w:rsidR="001B547B" w:rsidRPr="00D93BE2" w:rsidRDefault="001B547B" w:rsidP="00864ACB">
            <w:pPr>
              <w:jc w:val="right"/>
              <w:rPr>
                <w:rFonts w:cs="宋体"/>
                <w:sz w:val="22"/>
                <w:szCs w:val="22"/>
              </w:rPr>
            </w:pPr>
            <w:r w:rsidRPr="00701964">
              <w:t>605,601.57</w:t>
            </w:r>
          </w:p>
        </w:tc>
        <w:tc>
          <w:tcPr>
            <w:tcW w:w="1843" w:type="dxa"/>
          </w:tcPr>
          <w:p w:rsidR="001B547B" w:rsidRPr="00D93BE2" w:rsidRDefault="001B547B" w:rsidP="00864ACB">
            <w:pPr>
              <w:jc w:val="right"/>
              <w:rPr>
                <w:rFonts w:cs="宋体"/>
                <w:sz w:val="22"/>
                <w:szCs w:val="22"/>
              </w:rPr>
            </w:pPr>
            <w:r w:rsidRPr="003010BF">
              <w:t>2,235,341.30</w:t>
            </w:r>
          </w:p>
        </w:tc>
        <w:tc>
          <w:tcPr>
            <w:tcW w:w="992" w:type="dxa"/>
          </w:tcPr>
          <w:p w:rsidR="001B547B" w:rsidRPr="00D93BE2" w:rsidRDefault="001B547B" w:rsidP="00864ACB">
            <w:pPr>
              <w:jc w:val="right"/>
              <w:rPr>
                <w:rFonts w:cs="宋体"/>
                <w:sz w:val="22"/>
                <w:szCs w:val="22"/>
              </w:rPr>
            </w:pPr>
            <w:r>
              <w:t>-72.91</w:t>
            </w:r>
          </w:p>
        </w:tc>
        <w:tc>
          <w:tcPr>
            <w:tcW w:w="2460" w:type="dxa"/>
          </w:tcPr>
          <w:p w:rsidR="001B547B" w:rsidRPr="00D93BE2" w:rsidRDefault="001B547B" w:rsidP="00864ACB">
            <w:pPr>
              <w:rPr>
                <w:rFonts w:cs="宋体"/>
                <w:sz w:val="22"/>
                <w:szCs w:val="22"/>
              </w:rPr>
            </w:pPr>
            <w:r w:rsidRPr="00042DDE">
              <w:rPr>
                <w:rFonts w:hint="eastAsia"/>
              </w:rPr>
              <w:t>主要系本期子公司确认租金收入所致；</w:t>
            </w:r>
          </w:p>
        </w:tc>
      </w:tr>
      <w:tr w:rsidR="001B547B" w:rsidRPr="00D93BE2" w:rsidTr="00864ACB">
        <w:tc>
          <w:tcPr>
            <w:tcW w:w="1560" w:type="dxa"/>
          </w:tcPr>
          <w:p w:rsidR="001B547B" w:rsidRPr="00D93BE2" w:rsidRDefault="001B547B" w:rsidP="00864ACB">
            <w:pPr>
              <w:rPr>
                <w:rFonts w:cs="宋体"/>
                <w:sz w:val="18"/>
                <w:szCs w:val="18"/>
              </w:rPr>
            </w:pPr>
            <w:r w:rsidRPr="004E5380">
              <w:t>应付职工薪酬</w:t>
            </w:r>
          </w:p>
        </w:tc>
        <w:tc>
          <w:tcPr>
            <w:tcW w:w="1843" w:type="dxa"/>
          </w:tcPr>
          <w:p w:rsidR="001B547B" w:rsidRPr="00D93BE2" w:rsidRDefault="001B547B" w:rsidP="00864ACB">
            <w:pPr>
              <w:jc w:val="right"/>
              <w:rPr>
                <w:rFonts w:cs="宋体"/>
                <w:sz w:val="22"/>
                <w:szCs w:val="22"/>
              </w:rPr>
            </w:pPr>
            <w:r w:rsidRPr="00701964">
              <w:t>22,787,111.71</w:t>
            </w:r>
          </w:p>
        </w:tc>
        <w:tc>
          <w:tcPr>
            <w:tcW w:w="1843" w:type="dxa"/>
          </w:tcPr>
          <w:p w:rsidR="001B547B" w:rsidRPr="00D93BE2" w:rsidRDefault="001B547B" w:rsidP="00864ACB">
            <w:pPr>
              <w:jc w:val="right"/>
              <w:rPr>
                <w:rFonts w:cs="宋体"/>
                <w:sz w:val="22"/>
                <w:szCs w:val="22"/>
              </w:rPr>
            </w:pPr>
            <w:r w:rsidRPr="003010BF">
              <w:t>42,772,460.42</w:t>
            </w:r>
          </w:p>
        </w:tc>
        <w:tc>
          <w:tcPr>
            <w:tcW w:w="992" w:type="dxa"/>
          </w:tcPr>
          <w:p w:rsidR="001B547B" w:rsidRPr="00D93BE2" w:rsidRDefault="001B547B" w:rsidP="00864ACB">
            <w:pPr>
              <w:jc w:val="right"/>
              <w:rPr>
                <w:rFonts w:cs="宋体"/>
                <w:sz w:val="22"/>
                <w:szCs w:val="22"/>
              </w:rPr>
            </w:pPr>
            <w:r>
              <w:t>-46.72</w:t>
            </w:r>
          </w:p>
        </w:tc>
        <w:tc>
          <w:tcPr>
            <w:tcW w:w="2460" w:type="dxa"/>
          </w:tcPr>
          <w:p w:rsidR="001B547B" w:rsidRPr="00D93BE2" w:rsidRDefault="001B547B" w:rsidP="00864ACB">
            <w:pPr>
              <w:rPr>
                <w:rFonts w:cs="宋体"/>
                <w:sz w:val="22"/>
                <w:szCs w:val="22"/>
              </w:rPr>
            </w:pPr>
            <w:r w:rsidRPr="00042DDE">
              <w:rPr>
                <w:rFonts w:hint="eastAsia"/>
              </w:rPr>
              <w:t>主要系本期公司支付绩效考核奖所致；</w:t>
            </w:r>
          </w:p>
        </w:tc>
      </w:tr>
      <w:tr w:rsidR="001B547B" w:rsidRPr="00D93BE2" w:rsidTr="00864ACB">
        <w:tc>
          <w:tcPr>
            <w:tcW w:w="1560" w:type="dxa"/>
          </w:tcPr>
          <w:p w:rsidR="001B547B" w:rsidRPr="00D93BE2" w:rsidRDefault="001B547B" w:rsidP="00864ACB">
            <w:pPr>
              <w:rPr>
                <w:rFonts w:cs="宋体"/>
                <w:sz w:val="18"/>
                <w:szCs w:val="18"/>
              </w:rPr>
            </w:pPr>
            <w:r w:rsidRPr="004E5380">
              <w:t xml:space="preserve">  一年内到期的非流动负债</w:t>
            </w:r>
          </w:p>
        </w:tc>
        <w:tc>
          <w:tcPr>
            <w:tcW w:w="1843" w:type="dxa"/>
          </w:tcPr>
          <w:p w:rsidR="001B547B" w:rsidRPr="00D93BE2" w:rsidRDefault="001B547B" w:rsidP="00864ACB">
            <w:pPr>
              <w:jc w:val="right"/>
              <w:rPr>
                <w:rFonts w:cs="宋体"/>
                <w:sz w:val="22"/>
                <w:szCs w:val="22"/>
              </w:rPr>
            </w:pPr>
            <w:r w:rsidRPr="00701964">
              <w:t>73,866,302.14</w:t>
            </w:r>
          </w:p>
        </w:tc>
        <w:tc>
          <w:tcPr>
            <w:tcW w:w="1843" w:type="dxa"/>
          </w:tcPr>
          <w:p w:rsidR="001B547B" w:rsidRPr="00D93BE2" w:rsidRDefault="001B547B" w:rsidP="00864ACB">
            <w:pPr>
              <w:jc w:val="right"/>
              <w:rPr>
                <w:rFonts w:cs="宋体"/>
                <w:sz w:val="22"/>
                <w:szCs w:val="22"/>
              </w:rPr>
            </w:pPr>
            <w:r w:rsidRPr="003010BF">
              <w:t>30,810,293.81</w:t>
            </w:r>
          </w:p>
        </w:tc>
        <w:tc>
          <w:tcPr>
            <w:tcW w:w="992" w:type="dxa"/>
          </w:tcPr>
          <w:p w:rsidR="001B547B" w:rsidRPr="00D93BE2" w:rsidRDefault="001B547B" w:rsidP="00864ACB">
            <w:pPr>
              <w:jc w:val="right"/>
              <w:rPr>
                <w:rFonts w:cs="宋体"/>
                <w:sz w:val="22"/>
                <w:szCs w:val="22"/>
              </w:rPr>
            </w:pPr>
            <w:r>
              <w:t>139.75</w:t>
            </w:r>
          </w:p>
        </w:tc>
        <w:tc>
          <w:tcPr>
            <w:tcW w:w="2460" w:type="dxa"/>
          </w:tcPr>
          <w:p w:rsidR="001B547B" w:rsidRPr="00D93BE2" w:rsidRDefault="001B547B" w:rsidP="00864ACB">
            <w:pPr>
              <w:rPr>
                <w:rFonts w:cs="宋体"/>
                <w:sz w:val="22"/>
                <w:szCs w:val="22"/>
              </w:rPr>
            </w:pPr>
            <w:r w:rsidRPr="00042DDE">
              <w:rPr>
                <w:rFonts w:hint="eastAsia"/>
              </w:rPr>
              <w:t>主要系本期一年内到期的长期借款增加所致；</w:t>
            </w:r>
          </w:p>
        </w:tc>
      </w:tr>
      <w:tr w:rsidR="001B547B" w:rsidRPr="00D93BE2" w:rsidTr="00864ACB">
        <w:tc>
          <w:tcPr>
            <w:tcW w:w="1560" w:type="dxa"/>
          </w:tcPr>
          <w:p w:rsidR="001B547B" w:rsidRPr="00D93BE2" w:rsidRDefault="001B547B" w:rsidP="00864ACB">
            <w:pPr>
              <w:rPr>
                <w:rFonts w:cs="宋体"/>
                <w:sz w:val="18"/>
                <w:szCs w:val="18"/>
              </w:rPr>
            </w:pPr>
            <w:r w:rsidRPr="004E5380">
              <w:t xml:space="preserve">  租赁负债</w:t>
            </w:r>
          </w:p>
        </w:tc>
        <w:tc>
          <w:tcPr>
            <w:tcW w:w="1843" w:type="dxa"/>
          </w:tcPr>
          <w:p w:rsidR="001B547B" w:rsidRPr="00D93BE2" w:rsidRDefault="001B547B" w:rsidP="00864ACB">
            <w:pPr>
              <w:jc w:val="right"/>
              <w:rPr>
                <w:rFonts w:cs="宋体"/>
                <w:sz w:val="22"/>
                <w:szCs w:val="22"/>
              </w:rPr>
            </w:pPr>
            <w:r w:rsidRPr="00701964">
              <w:t>5,844,361.21</w:t>
            </w:r>
          </w:p>
        </w:tc>
        <w:tc>
          <w:tcPr>
            <w:tcW w:w="1843" w:type="dxa"/>
          </w:tcPr>
          <w:p w:rsidR="001B547B" w:rsidRPr="00D93BE2" w:rsidRDefault="001B547B" w:rsidP="00864ACB">
            <w:pPr>
              <w:jc w:val="right"/>
              <w:rPr>
                <w:rFonts w:cs="宋体"/>
                <w:sz w:val="22"/>
                <w:szCs w:val="22"/>
              </w:rPr>
            </w:pPr>
          </w:p>
        </w:tc>
        <w:tc>
          <w:tcPr>
            <w:tcW w:w="992" w:type="dxa"/>
          </w:tcPr>
          <w:p w:rsidR="001B547B" w:rsidRPr="00D93BE2" w:rsidRDefault="001B547B" w:rsidP="00864ACB">
            <w:pPr>
              <w:jc w:val="right"/>
              <w:rPr>
                <w:rFonts w:cs="宋体"/>
                <w:sz w:val="22"/>
                <w:szCs w:val="22"/>
              </w:rPr>
            </w:pPr>
          </w:p>
        </w:tc>
        <w:tc>
          <w:tcPr>
            <w:tcW w:w="2460" w:type="dxa"/>
          </w:tcPr>
          <w:p w:rsidR="001B547B" w:rsidRPr="00D93BE2" w:rsidRDefault="001B547B" w:rsidP="00864ACB">
            <w:pPr>
              <w:rPr>
                <w:rFonts w:cs="宋体"/>
                <w:sz w:val="22"/>
                <w:szCs w:val="22"/>
              </w:rPr>
            </w:pPr>
            <w:r w:rsidRPr="00042DDE">
              <w:rPr>
                <w:rFonts w:hint="eastAsia"/>
              </w:rPr>
              <w:t>主要系本期执行新租赁准则确认租赁负债所致；</w:t>
            </w:r>
          </w:p>
        </w:tc>
      </w:tr>
    </w:tbl>
    <w:p w:rsidR="001B547B" w:rsidRDefault="001B547B" w:rsidP="001B547B">
      <w:pPr>
        <w:autoSpaceDE w:val="0"/>
        <w:autoSpaceDN w:val="0"/>
        <w:adjustRightInd w:val="0"/>
        <w:jc w:val="both"/>
        <w:rPr>
          <w:color w:val="auto"/>
          <w:szCs w:val="21"/>
        </w:rPr>
      </w:pPr>
    </w:p>
    <w:p w:rsidR="001B547B" w:rsidRPr="00DC5669" w:rsidRDefault="001B547B" w:rsidP="001B547B">
      <w:pPr>
        <w:autoSpaceDE w:val="0"/>
        <w:autoSpaceDN w:val="0"/>
        <w:adjustRightInd w:val="0"/>
        <w:jc w:val="both"/>
        <w:rPr>
          <w:color w:val="auto"/>
          <w:szCs w:val="21"/>
        </w:rPr>
      </w:pPr>
      <w:r w:rsidRPr="00DC5669">
        <w:rPr>
          <w:rFonts w:hint="eastAsia"/>
          <w:color w:val="auto"/>
          <w:szCs w:val="21"/>
        </w:rPr>
        <w:t>利润</w:t>
      </w:r>
      <w:proofErr w:type="gramStart"/>
      <w:r w:rsidRPr="00DC5669">
        <w:rPr>
          <w:rFonts w:hint="eastAsia"/>
          <w:color w:val="auto"/>
          <w:szCs w:val="21"/>
        </w:rPr>
        <w:t>表项目</w:t>
      </w:r>
      <w:proofErr w:type="gramEnd"/>
      <w:r w:rsidRPr="00DC5669">
        <w:rPr>
          <w:rFonts w:hint="eastAsia"/>
          <w:color w:val="auto"/>
          <w:szCs w:val="21"/>
        </w:rPr>
        <w:t>变动情况说明：</w:t>
      </w:r>
    </w:p>
    <w:p w:rsidR="001B547B" w:rsidRPr="00DC5669" w:rsidRDefault="001B547B" w:rsidP="001B547B">
      <w:pPr>
        <w:autoSpaceDE w:val="0"/>
        <w:autoSpaceDN w:val="0"/>
        <w:adjustRightInd w:val="0"/>
        <w:jc w:val="both"/>
        <w:rPr>
          <w:color w:val="auto"/>
          <w:szCs w:val="2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62"/>
        <w:gridCol w:w="1662"/>
        <w:gridCol w:w="1161"/>
        <w:gridCol w:w="2527"/>
      </w:tblGrid>
      <w:tr w:rsidR="001B547B" w:rsidRPr="00DC5669" w:rsidTr="00864ACB">
        <w:tc>
          <w:tcPr>
            <w:tcW w:w="1710" w:type="dxa"/>
          </w:tcPr>
          <w:p w:rsidR="001B547B" w:rsidRPr="00DC5669" w:rsidRDefault="001B547B" w:rsidP="001B547B">
            <w:pPr>
              <w:autoSpaceDE w:val="0"/>
              <w:autoSpaceDN w:val="0"/>
              <w:adjustRightInd w:val="0"/>
              <w:ind w:firstLineChars="300" w:firstLine="630"/>
              <w:jc w:val="right"/>
              <w:rPr>
                <w:szCs w:val="21"/>
              </w:rPr>
            </w:pPr>
            <w:r w:rsidRPr="00DC5669">
              <w:rPr>
                <w:rFonts w:hint="eastAsia"/>
                <w:szCs w:val="21"/>
              </w:rPr>
              <w:t>项目</w:t>
            </w:r>
          </w:p>
        </w:tc>
        <w:tc>
          <w:tcPr>
            <w:tcW w:w="1662" w:type="dxa"/>
          </w:tcPr>
          <w:p w:rsidR="001B547B" w:rsidRPr="00DC5669" w:rsidRDefault="001B547B" w:rsidP="001B547B">
            <w:pPr>
              <w:autoSpaceDE w:val="0"/>
              <w:autoSpaceDN w:val="0"/>
              <w:adjustRightInd w:val="0"/>
              <w:jc w:val="right"/>
              <w:rPr>
                <w:szCs w:val="21"/>
              </w:rPr>
            </w:pPr>
            <w:r w:rsidRPr="00DC5669">
              <w:rPr>
                <w:rFonts w:hint="eastAsia"/>
                <w:szCs w:val="21"/>
              </w:rPr>
              <w:t>本期数</w:t>
            </w:r>
          </w:p>
        </w:tc>
        <w:tc>
          <w:tcPr>
            <w:tcW w:w="1662" w:type="dxa"/>
          </w:tcPr>
          <w:p w:rsidR="001B547B" w:rsidRPr="00DC5669" w:rsidRDefault="001B547B" w:rsidP="001B547B">
            <w:pPr>
              <w:autoSpaceDE w:val="0"/>
              <w:autoSpaceDN w:val="0"/>
              <w:adjustRightInd w:val="0"/>
              <w:jc w:val="right"/>
              <w:rPr>
                <w:szCs w:val="21"/>
              </w:rPr>
            </w:pPr>
            <w:r w:rsidRPr="00DC5669">
              <w:rPr>
                <w:rFonts w:hint="eastAsia"/>
                <w:szCs w:val="21"/>
              </w:rPr>
              <w:t>上年同期数</w:t>
            </w:r>
          </w:p>
        </w:tc>
        <w:tc>
          <w:tcPr>
            <w:tcW w:w="1137" w:type="dxa"/>
          </w:tcPr>
          <w:p w:rsidR="001B547B" w:rsidRPr="00DC5669" w:rsidRDefault="001B547B" w:rsidP="001B547B">
            <w:pPr>
              <w:autoSpaceDE w:val="0"/>
              <w:autoSpaceDN w:val="0"/>
              <w:adjustRightInd w:val="0"/>
              <w:jc w:val="right"/>
              <w:rPr>
                <w:szCs w:val="21"/>
              </w:rPr>
            </w:pPr>
            <w:r w:rsidRPr="00DC5669">
              <w:rPr>
                <w:rFonts w:hint="eastAsia"/>
                <w:szCs w:val="21"/>
              </w:rPr>
              <w:t xml:space="preserve">增减变动(%) </w:t>
            </w:r>
          </w:p>
        </w:tc>
        <w:tc>
          <w:tcPr>
            <w:tcW w:w="2527" w:type="dxa"/>
          </w:tcPr>
          <w:p w:rsidR="001B547B" w:rsidRPr="00DC5669" w:rsidRDefault="001B547B" w:rsidP="001B547B">
            <w:pPr>
              <w:autoSpaceDE w:val="0"/>
              <w:autoSpaceDN w:val="0"/>
              <w:adjustRightInd w:val="0"/>
              <w:ind w:right="840"/>
              <w:jc w:val="center"/>
              <w:rPr>
                <w:szCs w:val="21"/>
              </w:rPr>
            </w:pPr>
            <w:r w:rsidRPr="00DC5669">
              <w:rPr>
                <w:rFonts w:hint="eastAsia"/>
                <w:szCs w:val="21"/>
              </w:rPr>
              <w:t>原因</w:t>
            </w:r>
          </w:p>
        </w:tc>
      </w:tr>
      <w:tr w:rsidR="001B547B" w:rsidRPr="00DC5669" w:rsidTr="00864ACB">
        <w:tc>
          <w:tcPr>
            <w:tcW w:w="1710" w:type="dxa"/>
            <w:vAlign w:val="center"/>
          </w:tcPr>
          <w:p w:rsidR="001B547B" w:rsidRPr="00DC5669" w:rsidRDefault="001B547B" w:rsidP="00864ACB">
            <w:pPr>
              <w:autoSpaceDE w:val="0"/>
              <w:autoSpaceDN w:val="0"/>
              <w:adjustRightInd w:val="0"/>
              <w:jc w:val="right"/>
              <w:rPr>
                <w:szCs w:val="21"/>
              </w:rPr>
            </w:pPr>
            <w:r>
              <w:t>研发费用</w:t>
            </w:r>
          </w:p>
        </w:tc>
        <w:tc>
          <w:tcPr>
            <w:tcW w:w="1662" w:type="dxa"/>
          </w:tcPr>
          <w:p w:rsidR="001B547B" w:rsidRPr="00DC5669" w:rsidRDefault="001B547B" w:rsidP="00864ACB">
            <w:pPr>
              <w:autoSpaceDE w:val="0"/>
              <w:autoSpaceDN w:val="0"/>
              <w:adjustRightInd w:val="0"/>
              <w:jc w:val="right"/>
              <w:rPr>
                <w:szCs w:val="21"/>
              </w:rPr>
            </w:pPr>
            <w:r w:rsidRPr="00DF614A">
              <w:t>2,405,007.13</w:t>
            </w:r>
          </w:p>
        </w:tc>
        <w:tc>
          <w:tcPr>
            <w:tcW w:w="1662" w:type="dxa"/>
          </w:tcPr>
          <w:p w:rsidR="001B547B" w:rsidRPr="00DC5669" w:rsidRDefault="001B547B" w:rsidP="00864ACB">
            <w:pPr>
              <w:autoSpaceDE w:val="0"/>
              <w:autoSpaceDN w:val="0"/>
              <w:adjustRightInd w:val="0"/>
              <w:jc w:val="right"/>
              <w:rPr>
                <w:szCs w:val="21"/>
              </w:rPr>
            </w:pPr>
            <w:r w:rsidRPr="000550A3">
              <w:t>1,630,372.88</w:t>
            </w:r>
          </w:p>
        </w:tc>
        <w:tc>
          <w:tcPr>
            <w:tcW w:w="1137" w:type="dxa"/>
          </w:tcPr>
          <w:p w:rsidR="001B547B" w:rsidRPr="00DC5669" w:rsidRDefault="001B547B" w:rsidP="00864ACB">
            <w:pPr>
              <w:autoSpaceDE w:val="0"/>
              <w:autoSpaceDN w:val="0"/>
              <w:adjustRightInd w:val="0"/>
              <w:jc w:val="right"/>
              <w:rPr>
                <w:szCs w:val="21"/>
              </w:rPr>
            </w:pPr>
            <w:r>
              <w:t>47.51</w:t>
            </w:r>
          </w:p>
        </w:tc>
        <w:tc>
          <w:tcPr>
            <w:tcW w:w="2527" w:type="dxa"/>
          </w:tcPr>
          <w:p w:rsidR="001B547B" w:rsidRPr="00DC5669" w:rsidRDefault="001B547B" w:rsidP="00864ACB">
            <w:pPr>
              <w:autoSpaceDE w:val="0"/>
              <w:autoSpaceDN w:val="0"/>
              <w:adjustRightInd w:val="0"/>
              <w:rPr>
                <w:szCs w:val="21"/>
              </w:rPr>
            </w:pPr>
            <w:r w:rsidRPr="009F4A15">
              <w:t>主要系本期公司研发投入增加所致；</w:t>
            </w:r>
          </w:p>
        </w:tc>
      </w:tr>
      <w:tr w:rsidR="001B547B" w:rsidRPr="00DC5669" w:rsidTr="00864ACB">
        <w:tc>
          <w:tcPr>
            <w:tcW w:w="1710" w:type="dxa"/>
            <w:vAlign w:val="center"/>
          </w:tcPr>
          <w:p w:rsidR="001B547B" w:rsidRPr="00DC5669" w:rsidRDefault="001B547B" w:rsidP="00864ACB">
            <w:pPr>
              <w:autoSpaceDE w:val="0"/>
              <w:autoSpaceDN w:val="0"/>
              <w:adjustRightInd w:val="0"/>
              <w:jc w:val="right"/>
              <w:rPr>
                <w:szCs w:val="21"/>
              </w:rPr>
            </w:pPr>
            <w:r>
              <w:t>投资收益</w:t>
            </w:r>
          </w:p>
        </w:tc>
        <w:tc>
          <w:tcPr>
            <w:tcW w:w="1662" w:type="dxa"/>
          </w:tcPr>
          <w:p w:rsidR="001B547B" w:rsidRPr="00DC5669" w:rsidRDefault="001B547B" w:rsidP="00864ACB">
            <w:pPr>
              <w:autoSpaceDE w:val="0"/>
              <w:autoSpaceDN w:val="0"/>
              <w:adjustRightInd w:val="0"/>
              <w:jc w:val="right"/>
              <w:rPr>
                <w:szCs w:val="21"/>
              </w:rPr>
            </w:pPr>
            <w:r w:rsidRPr="00DF614A">
              <w:t>5,830,086.98</w:t>
            </w:r>
          </w:p>
        </w:tc>
        <w:tc>
          <w:tcPr>
            <w:tcW w:w="1662" w:type="dxa"/>
          </w:tcPr>
          <w:p w:rsidR="001B547B" w:rsidRPr="00DC5669" w:rsidRDefault="001B547B" w:rsidP="00864ACB">
            <w:pPr>
              <w:autoSpaceDE w:val="0"/>
              <w:autoSpaceDN w:val="0"/>
              <w:adjustRightInd w:val="0"/>
              <w:jc w:val="right"/>
              <w:rPr>
                <w:szCs w:val="21"/>
              </w:rPr>
            </w:pPr>
            <w:r w:rsidRPr="000550A3">
              <w:t>-4,192,597.20</w:t>
            </w:r>
          </w:p>
        </w:tc>
        <w:tc>
          <w:tcPr>
            <w:tcW w:w="1137" w:type="dxa"/>
          </w:tcPr>
          <w:p w:rsidR="001B547B" w:rsidRPr="00DC5669" w:rsidRDefault="001B547B" w:rsidP="00864ACB">
            <w:pPr>
              <w:autoSpaceDE w:val="0"/>
              <w:autoSpaceDN w:val="0"/>
              <w:adjustRightInd w:val="0"/>
              <w:jc w:val="right"/>
              <w:rPr>
                <w:szCs w:val="21"/>
              </w:rPr>
            </w:pPr>
            <w:r>
              <w:t>239.06</w:t>
            </w:r>
          </w:p>
        </w:tc>
        <w:tc>
          <w:tcPr>
            <w:tcW w:w="2527" w:type="dxa"/>
          </w:tcPr>
          <w:p w:rsidR="001B547B" w:rsidRPr="00DC5669" w:rsidRDefault="001B547B" w:rsidP="00864ACB">
            <w:pPr>
              <w:autoSpaceDE w:val="0"/>
              <w:autoSpaceDN w:val="0"/>
              <w:adjustRightInd w:val="0"/>
              <w:rPr>
                <w:szCs w:val="21"/>
              </w:rPr>
            </w:pPr>
            <w:r w:rsidRPr="009F4A15">
              <w:t>主要系本期按权益法确认的投资收益增加所致；</w:t>
            </w:r>
          </w:p>
        </w:tc>
      </w:tr>
      <w:tr w:rsidR="001B547B" w:rsidRPr="00DC5669" w:rsidTr="00864ACB">
        <w:tc>
          <w:tcPr>
            <w:tcW w:w="1710" w:type="dxa"/>
            <w:vAlign w:val="center"/>
          </w:tcPr>
          <w:p w:rsidR="001B547B" w:rsidRPr="00DC5669" w:rsidRDefault="001B547B" w:rsidP="00864ACB">
            <w:pPr>
              <w:autoSpaceDE w:val="0"/>
              <w:autoSpaceDN w:val="0"/>
              <w:adjustRightInd w:val="0"/>
              <w:jc w:val="right"/>
              <w:rPr>
                <w:szCs w:val="21"/>
              </w:rPr>
            </w:pPr>
            <w:r>
              <w:lastRenderedPageBreak/>
              <w:t>资产处置收益</w:t>
            </w:r>
          </w:p>
        </w:tc>
        <w:tc>
          <w:tcPr>
            <w:tcW w:w="1662" w:type="dxa"/>
          </w:tcPr>
          <w:p w:rsidR="001B547B" w:rsidRPr="00DC5669" w:rsidRDefault="001B547B" w:rsidP="00864ACB">
            <w:pPr>
              <w:autoSpaceDE w:val="0"/>
              <w:autoSpaceDN w:val="0"/>
              <w:adjustRightInd w:val="0"/>
              <w:jc w:val="right"/>
              <w:rPr>
                <w:szCs w:val="21"/>
              </w:rPr>
            </w:pPr>
            <w:r w:rsidRPr="00DF614A">
              <w:t>-86.21</w:t>
            </w:r>
          </w:p>
        </w:tc>
        <w:tc>
          <w:tcPr>
            <w:tcW w:w="1662" w:type="dxa"/>
          </w:tcPr>
          <w:p w:rsidR="001B547B" w:rsidRPr="00DC5669" w:rsidRDefault="001B547B" w:rsidP="00864ACB">
            <w:pPr>
              <w:autoSpaceDE w:val="0"/>
              <w:autoSpaceDN w:val="0"/>
              <w:adjustRightInd w:val="0"/>
              <w:jc w:val="right"/>
              <w:rPr>
                <w:szCs w:val="21"/>
              </w:rPr>
            </w:pPr>
            <w:r w:rsidRPr="000550A3">
              <w:t>1,577,457.27</w:t>
            </w:r>
          </w:p>
        </w:tc>
        <w:tc>
          <w:tcPr>
            <w:tcW w:w="1137" w:type="dxa"/>
          </w:tcPr>
          <w:p w:rsidR="001B547B" w:rsidRPr="00DC5669" w:rsidRDefault="001B547B" w:rsidP="00864ACB">
            <w:pPr>
              <w:autoSpaceDE w:val="0"/>
              <w:autoSpaceDN w:val="0"/>
              <w:adjustRightInd w:val="0"/>
              <w:jc w:val="right"/>
              <w:rPr>
                <w:szCs w:val="21"/>
              </w:rPr>
            </w:pPr>
            <w:r>
              <w:t>-100.01</w:t>
            </w:r>
          </w:p>
        </w:tc>
        <w:tc>
          <w:tcPr>
            <w:tcW w:w="2527" w:type="dxa"/>
          </w:tcPr>
          <w:p w:rsidR="001B547B" w:rsidRPr="00DC5669" w:rsidRDefault="001B547B" w:rsidP="00864ACB">
            <w:pPr>
              <w:autoSpaceDE w:val="0"/>
              <w:autoSpaceDN w:val="0"/>
              <w:adjustRightInd w:val="0"/>
              <w:rPr>
                <w:szCs w:val="21"/>
              </w:rPr>
            </w:pPr>
            <w:r w:rsidRPr="009F4A15">
              <w:t>主要系公司上年同期资产处置较多所致；</w:t>
            </w:r>
          </w:p>
        </w:tc>
      </w:tr>
      <w:tr w:rsidR="001B547B" w:rsidRPr="00DC5669" w:rsidTr="00864ACB">
        <w:tc>
          <w:tcPr>
            <w:tcW w:w="1710" w:type="dxa"/>
            <w:vAlign w:val="center"/>
          </w:tcPr>
          <w:p w:rsidR="001B547B" w:rsidRPr="00DC5669" w:rsidRDefault="001B547B" w:rsidP="00864ACB">
            <w:pPr>
              <w:autoSpaceDE w:val="0"/>
              <w:autoSpaceDN w:val="0"/>
              <w:adjustRightInd w:val="0"/>
              <w:jc w:val="right"/>
              <w:rPr>
                <w:szCs w:val="21"/>
              </w:rPr>
            </w:pPr>
            <w:r>
              <w:t>所得税费用</w:t>
            </w:r>
          </w:p>
        </w:tc>
        <w:tc>
          <w:tcPr>
            <w:tcW w:w="1662" w:type="dxa"/>
          </w:tcPr>
          <w:p w:rsidR="001B547B" w:rsidRPr="00DC5669" w:rsidRDefault="001B547B" w:rsidP="00864ACB">
            <w:pPr>
              <w:autoSpaceDE w:val="0"/>
              <w:autoSpaceDN w:val="0"/>
              <w:adjustRightInd w:val="0"/>
              <w:jc w:val="right"/>
              <w:rPr>
                <w:szCs w:val="21"/>
              </w:rPr>
            </w:pPr>
            <w:r w:rsidRPr="00DF614A">
              <w:t>16,438,376.47</w:t>
            </w:r>
          </w:p>
        </w:tc>
        <w:tc>
          <w:tcPr>
            <w:tcW w:w="1662" w:type="dxa"/>
          </w:tcPr>
          <w:p w:rsidR="001B547B" w:rsidRPr="00DC5669" w:rsidRDefault="001B547B" w:rsidP="00864ACB">
            <w:pPr>
              <w:autoSpaceDE w:val="0"/>
              <w:autoSpaceDN w:val="0"/>
              <w:adjustRightInd w:val="0"/>
              <w:jc w:val="right"/>
              <w:rPr>
                <w:szCs w:val="21"/>
              </w:rPr>
            </w:pPr>
            <w:r w:rsidRPr="000550A3">
              <w:t>12,098,040.66</w:t>
            </w:r>
          </w:p>
        </w:tc>
        <w:tc>
          <w:tcPr>
            <w:tcW w:w="1137" w:type="dxa"/>
            <w:vAlign w:val="center"/>
          </w:tcPr>
          <w:p w:rsidR="001B547B" w:rsidRPr="00DC5669" w:rsidRDefault="001B547B" w:rsidP="00E40B64">
            <w:pPr>
              <w:autoSpaceDE w:val="0"/>
              <w:autoSpaceDN w:val="0"/>
              <w:adjustRightInd w:val="0"/>
              <w:ind w:right="420"/>
              <w:rPr>
                <w:szCs w:val="21"/>
              </w:rPr>
            </w:pPr>
            <w:r>
              <w:rPr>
                <w:rFonts w:hint="eastAsia"/>
                <w:szCs w:val="21"/>
              </w:rPr>
              <w:t>3</w:t>
            </w:r>
            <w:r>
              <w:rPr>
                <w:szCs w:val="21"/>
              </w:rPr>
              <w:t>5.88</w:t>
            </w:r>
          </w:p>
        </w:tc>
        <w:tc>
          <w:tcPr>
            <w:tcW w:w="2527" w:type="dxa"/>
            <w:vAlign w:val="center"/>
          </w:tcPr>
          <w:p w:rsidR="001B547B" w:rsidRPr="00DC5669" w:rsidRDefault="001B547B" w:rsidP="00864ACB">
            <w:pPr>
              <w:autoSpaceDE w:val="0"/>
              <w:autoSpaceDN w:val="0"/>
              <w:adjustRightInd w:val="0"/>
              <w:rPr>
                <w:szCs w:val="21"/>
              </w:rPr>
            </w:pPr>
            <w:r w:rsidRPr="00AA0D11">
              <w:rPr>
                <w:rFonts w:hint="eastAsia"/>
                <w:szCs w:val="21"/>
              </w:rPr>
              <w:t>主要系本期水</w:t>
            </w:r>
            <w:proofErr w:type="gramStart"/>
            <w:r w:rsidRPr="00AA0D11">
              <w:rPr>
                <w:rFonts w:hint="eastAsia"/>
                <w:szCs w:val="21"/>
              </w:rPr>
              <w:t>务</w:t>
            </w:r>
            <w:proofErr w:type="gramEnd"/>
            <w:r w:rsidRPr="00AA0D11">
              <w:rPr>
                <w:rFonts w:hint="eastAsia"/>
                <w:szCs w:val="21"/>
              </w:rPr>
              <w:t>子公司收入增加相应计提当期所得税增加所致；</w:t>
            </w:r>
          </w:p>
        </w:tc>
      </w:tr>
    </w:tbl>
    <w:p w:rsidR="001B547B" w:rsidRDefault="001B547B" w:rsidP="001B547B"/>
    <w:p w:rsidR="001B547B" w:rsidRPr="00DC5669" w:rsidRDefault="001B547B" w:rsidP="001B547B">
      <w:pPr>
        <w:autoSpaceDE w:val="0"/>
        <w:autoSpaceDN w:val="0"/>
        <w:adjustRightInd w:val="0"/>
        <w:jc w:val="both"/>
        <w:rPr>
          <w:color w:val="auto"/>
          <w:szCs w:val="21"/>
        </w:rPr>
      </w:pPr>
      <w:r w:rsidRPr="00DC5669">
        <w:rPr>
          <w:rFonts w:hint="eastAsia"/>
          <w:color w:val="auto"/>
          <w:szCs w:val="21"/>
        </w:rPr>
        <w:t>现金流量表科目变动情况说明：</w:t>
      </w:r>
    </w:p>
    <w:p w:rsidR="001B547B" w:rsidRPr="00DC5669" w:rsidRDefault="001B547B" w:rsidP="001B547B">
      <w:pPr>
        <w:autoSpaceDE w:val="0"/>
        <w:autoSpaceDN w:val="0"/>
        <w:adjustRightInd w:val="0"/>
        <w:jc w:val="both"/>
        <w:rPr>
          <w:color w:val="auto"/>
          <w:szCs w:val="21"/>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1701"/>
        <w:gridCol w:w="1276"/>
        <w:gridCol w:w="1701"/>
      </w:tblGrid>
      <w:tr w:rsidR="001B547B" w:rsidRPr="00DC5669" w:rsidTr="00864ACB">
        <w:tc>
          <w:tcPr>
            <w:tcW w:w="2127" w:type="dxa"/>
          </w:tcPr>
          <w:p w:rsidR="001B547B" w:rsidRPr="00DC5669" w:rsidRDefault="001B547B" w:rsidP="00864ACB">
            <w:pPr>
              <w:autoSpaceDE w:val="0"/>
              <w:autoSpaceDN w:val="0"/>
              <w:adjustRightInd w:val="0"/>
              <w:jc w:val="both"/>
              <w:rPr>
                <w:color w:val="auto"/>
                <w:szCs w:val="21"/>
              </w:rPr>
            </w:pPr>
            <w:r w:rsidRPr="00DC5669">
              <w:rPr>
                <w:rFonts w:hint="eastAsia"/>
                <w:color w:val="auto"/>
                <w:szCs w:val="21"/>
              </w:rPr>
              <w:t>项目</w:t>
            </w:r>
          </w:p>
        </w:tc>
        <w:tc>
          <w:tcPr>
            <w:tcW w:w="1843" w:type="dxa"/>
          </w:tcPr>
          <w:p w:rsidR="001B547B" w:rsidRPr="00DC5669" w:rsidRDefault="001B547B" w:rsidP="00864ACB">
            <w:pPr>
              <w:autoSpaceDE w:val="0"/>
              <w:autoSpaceDN w:val="0"/>
              <w:adjustRightInd w:val="0"/>
              <w:jc w:val="both"/>
              <w:rPr>
                <w:color w:val="auto"/>
                <w:szCs w:val="21"/>
              </w:rPr>
            </w:pPr>
            <w:r w:rsidRPr="00DC5669">
              <w:rPr>
                <w:rFonts w:hint="eastAsia"/>
                <w:color w:val="auto"/>
                <w:szCs w:val="21"/>
              </w:rPr>
              <w:t>本期数</w:t>
            </w:r>
          </w:p>
        </w:tc>
        <w:tc>
          <w:tcPr>
            <w:tcW w:w="1701" w:type="dxa"/>
          </w:tcPr>
          <w:p w:rsidR="001B547B" w:rsidRPr="00DC5669" w:rsidRDefault="001B547B" w:rsidP="00864ACB">
            <w:pPr>
              <w:autoSpaceDE w:val="0"/>
              <w:autoSpaceDN w:val="0"/>
              <w:adjustRightInd w:val="0"/>
              <w:jc w:val="both"/>
              <w:rPr>
                <w:color w:val="auto"/>
                <w:szCs w:val="21"/>
              </w:rPr>
            </w:pPr>
            <w:r w:rsidRPr="00DC5669">
              <w:rPr>
                <w:rFonts w:hint="eastAsia"/>
                <w:color w:val="auto"/>
                <w:szCs w:val="21"/>
              </w:rPr>
              <w:t>上年同期数</w:t>
            </w:r>
          </w:p>
        </w:tc>
        <w:tc>
          <w:tcPr>
            <w:tcW w:w="1276" w:type="dxa"/>
          </w:tcPr>
          <w:p w:rsidR="001B547B" w:rsidRPr="00DC5669" w:rsidRDefault="001B547B" w:rsidP="00864ACB">
            <w:pPr>
              <w:autoSpaceDE w:val="0"/>
              <w:autoSpaceDN w:val="0"/>
              <w:adjustRightInd w:val="0"/>
              <w:jc w:val="both"/>
              <w:rPr>
                <w:color w:val="auto"/>
                <w:szCs w:val="21"/>
              </w:rPr>
            </w:pPr>
            <w:r w:rsidRPr="00DC5669">
              <w:rPr>
                <w:rFonts w:hint="eastAsia"/>
                <w:color w:val="auto"/>
                <w:szCs w:val="21"/>
              </w:rPr>
              <w:t>增减变动(%)</w:t>
            </w:r>
          </w:p>
        </w:tc>
        <w:tc>
          <w:tcPr>
            <w:tcW w:w="1701" w:type="dxa"/>
          </w:tcPr>
          <w:p w:rsidR="001B547B" w:rsidRPr="00DC5669" w:rsidRDefault="001B547B" w:rsidP="00864ACB">
            <w:pPr>
              <w:autoSpaceDE w:val="0"/>
              <w:autoSpaceDN w:val="0"/>
              <w:adjustRightInd w:val="0"/>
              <w:jc w:val="both"/>
              <w:rPr>
                <w:color w:val="auto"/>
                <w:szCs w:val="21"/>
              </w:rPr>
            </w:pPr>
            <w:r w:rsidRPr="00DC5669">
              <w:rPr>
                <w:rFonts w:hint="eastAsia"/>
                <w:color w:val="auto"/>
                <w:szCs w:val="21"/>
              </w:rPr>
              <w:t>原因</w:t>
            </w:r>
          </w:p>
        </w:tc>
      </w:tr>
      <w:tr w:rsidR="001B547B" w:rsidRPr="00DC5669" w:rsidTr="00864ACB">
        <w:tc>
          <w:tcPr>
            <w:tcW w:w="2127" w:type="dxa"/>
            <w:vAlign w:val="center"/>
          </w:tcPr>
          <w:p w:rsidR="001B547B" w:rsidRPr="00DC5669" w:rsidRDefault="001B547B" w:rsidP="00864ACB">
            <w:pPr>
              <w:autoSpaceDE w:val="0"/>
              <w:autoSpaceDN w:val="0"/>
              <w:adjustRightInd w:val="0"/>
              <w:jc w:val="both"/>
              <w:rPr>
                <w:bCs/>
                <w:color w:val="auto"/>
                <w:szCs w:val="21"/>
              </w:rPr>
            </w:pPr>
            <w:r w:rsidRPr="00DC5669">
              <w:rPr>
                <w:rFonts w:hint="eastAsia"/>
                <w:bCs/>
                <w:color w:val="auto"/>
                <w:szCs w:val="21"/>
              </w:rPr>
              <w:t>经营活动产生的现金流量净额</w:t>
            </w:r>
          </w:p>
        </w:tc>
        <w:tc>
          <w:tcPr>
            <w:tcW w:w="1843" w:type="dxa"/>
          </w:tcPr>
          <w:p w:rsidR="001B547B" w:rsidRPr="00DC5669" w:rsidRDefault="001B547B" w:rsidP="00864ACB">
            <w:pPr>
              <w:autoSpaceDE w:val="0"/>
              <w:autoSpaceDN w:val="0"/>
              <w:adjustRightInd w:val="0"/>
              <w:jc w:val="right"/>
              <w:rPr>
                <w:bCs/>
                <w:color w:val="auto"/>
                <w:szCs w:val="21"/>
              </w:rPr>
            </w:pPr>
            <w:r w:rsidRPr="00113BCE">
              <w:t>60,210,779.07</w:t>
            </w:r>
          </w:p>
        </w:tc>
        <w:tc>
          <w:tcPr>
            <w:tcW w:w="1701" w:type="dxa"/>
          </w:tcPr>
          <w:p w:rsidR="001B547B" w:rsidRPr="00DC5669" w:rsidRDefault="001B547B" w:rsidP="00864ACB">
            <w:pPr>
              <w:autoSpaceDE w:val="0"/>
              <w:autoSpaceDN w:val="0"/>
              <w:adjustRightInd w:val="0"/>
              <w:jc w:val="right"/>
              <w:rPr>
                <w:bCs/>
                <w:color w:val="auto"/>
                <w:szCs w:val="21"/>
              </w:rPr>
            </w:pPr>
            <w:r w:rsidRPr="00113BCE">
              <w:t>40,283,448.39</w:t>
            </w:r>
          </w:p>
        </w:tc>
        <w:tc>
          <w:tcPr>
            <w:tcW w:w="1276" w:type="dxa"/>
          </w:tcPr>
          <w:p w:rsidR="001B547B" w:rsidRPr="00DC5669" w:rsidRDefault="001B547B" w:rsidP="00864ACB">
            <w:pPr>
              <w:autoSpaceDE w:val="0"/>
              <w:autoSpaceDN w:val="0"/>
              <w:adjustRightInd w:val="0"/>
              <w:jc w:val="right"/>
              <w:rPr>
                <w:bCs/>
                <w:color w:val="auto"/>
                <w:szCs w:val="21"/>
              </w:rPr>
            </w:pPr>
            <w:r>
              <w:t>49.47</w:t>
            </w:r>
          </w:p>
        </w:tc>
        <w:tc>
          <w:tcPr>
            <w:tcW w:w="1701" w:type="dxa"/>
          </w:tcPr>
          <w:p w:rsidR="001B547B" w:rsidRPr="00DC5669" w:rsidRDefault="001B547B" w:rsidP="00864ACB">
            <w:pPr>
              <w:autoSpaceDE w:val="0"/>
              <w:autoSpaceDN w:val="0"/>
              <w:adjustRightInd w:val="0"/>
              <w:jc w:val="both"/>
              <w:rPr>
                <w:bCs/>
                <w:color w:val="auto"/>
                <w:szCs w:val="21"/>
              </w:rPr>
            </w:pPr>
            <w:r w:rsidRPr="00231CA6">
              <w:t>主要系本期公司销售商品、提供劳务收到的现金同比增加所致；</w:t>
            </w:r>
          </w:p>
        </w:tc>
      </w:tr>
      <w:tr w:rsidR="001B547B" w:rsidRPr="00DC5669" w:rsidTr="00864ACB">
        <w:tc>
          <w:tcPr>
            <w:tcW w:w="2127" w:type="dxa"/>
            <w:vAlign w:val="center"/>
          </w:tcPr>
          <w:p w:rsidR="001B547B" w:rsidRPr="00DC5669" w:rsidRDefault="001B547B" w:rsidP="00864ACB">
            <w:pPr>
              <w:autoSpaceDE w:val="0"/>
              <w:autoSpaceDN w:val="0"/>
              <w:adjustRightInd w:val="0"/>
              <w:jc w:val="both"/>
              <w:rPr>
                <w:bCs/>
                <w:color w:val="auto"/>
                <w:szCs w:val="21"/>
              </w:rPr>
            </w:pPr>
            <w:r w:rsidRPr="00DC5669">
              <w:rPr>
                <w:rFonts w:hint="eastAsia"/>
                <w:bCs/>
                <w:color w:val="auto"/>
                <w:szCs w:val="21"/>
              </w:rPr>
              <w:t>投资活动产生的现金流量净额</w:t>
            </w:r>
          </w:p>
        </w:tc>
        <w:tc>
          <w:tcPr>
            <w:tcW w:w="1843" w:type="dxa"/>
          </w:tcPr>
          <w:p w:rsidR="001B547B" w:rsidRPr="00DC5669" w:rsidRDefault="001B547B" w:rsidP="00864ACB">
            <w:pPr>
              <w:autoSpaceDE w:val="0"/>
              <w:autoSpaceDN w:val="0"/>
              <w:adjustRightInd w:val="0"/>
              <w:jc w:val="right"/>
              <w:rPr>
                <w:bCs/>
                <w:color w:val="auto"/>
                <w:szCs w:val="21"/>
              </w:rPr>
            </w:pPr>
            <w:r w:rsidRPr="00113BCE">
              <w:t>-133,797,927.10</w:t>
            </w:r>
          </w:p>
        </w:tc>
        <w:tc>
          <w:tcPr>
            <w:tcW w:w="1701" w:type="dxa"/>
          </w:tcPr>
          <w:p w:rsidR="001B547B" w:rsidRPr="00DC5669" w:rsidRDefault="001B547B" w:rsidP="00864ACB">
            <w:pPr>
              <w:autoSpaceDE w:val="0"/>
              <w:autoSpaceDN w:val="0"/>
              <w:adjustRightInd w:val="0"/>
              <w:jc w:val="right"/>
              <w:rPr>
                <w:bCs/>
                <w:color w:val="auto"/>
                <w:szCs w:val="21"/>
              </w:rPr>
            </w:pPr>
            <w:r w:rsidRPr="00113BCE">
              <w:t>-55,765,828.16</w:t>
            </w:r>
          </w:p>
        </w:tc>
        <w:tc>
          <w:tcPr>
            <w:tcW w:w="1276" w:type="dxa"/>
          </w:tcPr>
          <w:p w:rsidR="001B547B" w:rsidRPr="00DC5669" w:rsidRDefault="001B547B" w:rsidP="00864ACB">
            <w:pPr>
              <w:autoSpaceDE w:val="0"/>
              <w:autoSpaceDN w:val="0"/>
              <w:adjustRightInd w:val="0"/>
              <w:jc w:val="right"/>
              <w:rPr>
                <w:bCs/>
                <w:color w:val="auto"/>
                <w:szCs w:val="21"/>
              </w:rPr>
            </w:pPr>
            <w:r>
              <w:t>-139.93</w:t>
            </w:r>
          </w:p>
        </w:tc>
        <w:tc>
          <w:tcPr>
            <w:tcW w:w="1701" w:type="dxa"/>
          </w:tcPr>
          <w:p w:rsidR="001B547B" w:rsidRPr="00DC5669" w:rsidRDefault="001B547B" w:rsidP="00864ACB">
            <w:pPr>
              <w:autoSpaceDE w:val="0"/>
              <w:autoSpaceDN w:val="0"/>
              <w:adjustRightInd w:val="0"/>
              <w:jc w:val="both"/>
              <w:rPr>
                <w:bCs/>
                <w:color w:val="auto"/>
                <w:szCs w:val="21"/>
              </w:rPr>
            </w:pPr>
            <w:r w:rsidRPr="00231CA6">
              <w:t>主要系本期公司构建固定资产支付的现金同比增加所致；</w:t>
            </w:r>
          </w:p>
        </w:tc>
      </w:tr>
      <w:tr w:rsidR="001B547B" w:rsidRPr="00DC5669" w:rsidTr="00864ACB">
        <w:tc>
          <w:tcPr>
            <w:tcW w:w="2127" w:type="dxa"/>
            <w:vAlign w:val="center"/>
          </w:tcPr>
          <w:p w:rsidR="001B547B" w:rsidRPr="00DC5669" w:rsidRDefault="001B547B" w:rsidP="00864ACB">
            <w:pPr>
              <w:autoSpaceDE w:val="0"/>
              <w:autoSpaceDN w:val="0"/>
              <w:adjustRightInd w:val="0"/>
              <w:jc w:val="both"/>
              <w:rPr>
                <w:bCs/>
                <w:color w:val="auto"/>
                <w:szCs w:val="21"/>
              </w:rPr>
            </w:pPr>
            <w:r w:rsidRPr="00DC5669">
              <w:rPr>
                <w:rFonts w:hint="eastAsia"/>
                <w:bCs/>
                <w:color w:val="auto"/>
                <w:szCs w:val="21"/>
              </w:rPr>
              <w:t>筹资活动产生的现金流量净额</w:t>
            </w:r>
          </w:p>
        </w:tc>
        <w:tc>
          <w:tcPr>
            <w:tcW w:w="1843" w:type="dxa"/>
          </w:tcPr>
          <w:p w:rsidR="001B547B" w:rsidRPr="00DC5669" w:rsidRDefault="001B547B" w:rsidP="00864ACB">
            <w:pPr>
              <w:autoSpaceDE w:val="0"/>
              <w:autoSpaceDN w:val="0"/>
              <w:adjustRightInd w:val="0"/>
              <w:jc w:val="right"/>
              <w:rPr>
                <w:bCs/>
                <w:color w:val="auto"/>
                <w:szCs w:val="21"/>
              </w:rPr>
            </w:pPr>
            <w:r w:rsidRPr="00113BCE">
              <w:t>69,360,082.75</w:t>
            </w:r>
          </w:p>
        </w:tc>
        <w:tc>
          <w:tcPr>
            <w:tcW w:w="1701" w:type="dxa"/>
          </w:tcPr>
          <w:p w:rsidR="001B547B" w:rsidRPr="00DC5669" w:rsidRDefault="001B547B" w:rsidP="00864ACB">
            <w:pPr>
              <w:autoSpaceDE w:val="0"/>
              <w:autoSpaceDN w:val="0"/>
              <w:adjustRightInd w:val="0"/>
              <w:jc w:val="right"/>
              <w:rPr>
                <w:bCs/>
                <w:color w:val="auto"/>
                <w:szCs w:val="21"/>
              </w:rPr>
            </w:pPr>
            <w:r w:rsidRPr="00113BCE">
              <w:t>20,090,730.39</w:t>
            </w:r>
          </w:p>
        </w:tc>
        <w:tc>
          <w:tcPr>
            <w:tcW w:w="1276" w:type="dxa"/>
          </w:tcPr>
          <w:p w:rsidR="001B547B" w:rsidRPr="00DC5669" w:rsidRDefault="001B547B" w:rsidP="00864ACB">
            <w:pPr>
              <w:autoSpaceDE w:val="0"/>
              <w:autoSpaceDN w:val="0"/>
              <w:adjustRightInd w:val="0"/>
              <w:jc w:val="right"/>
              <w:rPr>
                <w:bCs/>
                <w:color w:val="auto"/>
                <w:szCs w:val="21"/>
              </w:rPr>
            </w:pPr>
            <w:r>
              <w:t>245.23</w:t>
            </w:r>
          </w:p>
        </w:tc>
        <w:tc>
          <w:tcPr>
            <w:tcW w:w="1701" w:type="dxa"/>
          </w:tcPr>
          <w:p w:rsidR="001B547B" w:rsidRPr="00DC5669" w:rsidRDefault="001B547B" w:rsidP="00864ACB">
            <w:pPr>
              <w:autoSpaceDE w:val="0"/>
              <w:autoSpaceDN w:val="0"/>
              <w:adjustRightInd w:val="0"/>
              <w:jc w:val="both"/>
              <w:rPr>
                <w:bCs/>
                <w:color w:val="auto"/>
                <w:szCs w:val="21"/>
              </w:rPr>
            </w:pPr>
            <w:r w:rsidRPr="00231CA6">
              <w:t>主要系本期公司偿还债务支付的现金同比减少所致；</w:t>
            </w:r>
          </w:p>
        </w:tc>
      </w:tr>
    </w:tbl>
    <w:p w:rsidR="001B547B" w:rsidRDefault="001B547B" w:rsidP="001B547B">
      <w:pPr>
        <w:rPr>
          <w:szCs w:val="21"/>
        </w:rPr>
      </w:pPr>
    </w:p>
    <w:p w:rsidR="001B547B" w:rsidRDefault="001B547B" w:rsidP="001B547B">
      <w:pPr>
        <w:pStyle w:val="2"/>
        <w:numPr>
          <w:ilvl w:val="0"/>
          <w:numId w:val="4"/>
        </w:numPr>
        <w:spacing w:line="240" w:lineRule="auto"/>
        <w:rPr>
          <w:b/>
        </w:rPr>
      </w:pPr>
      <w:r>
        <w:t>重</w:t>
      </w:r>
      <w:r>
        <w:rPr>
          <w:rFonts w:hint="eastAsia"/>
        </w:rPr>
        <w:t>要</w:t>
      </w:r>
      <w:r>
        <w:t>事项进展情况及其影响和解决方案的分析说明</w:t>
      </w:r>
    </w:p>
    <w:p w:rsidR="001B547B" w:rsidRDefault="001B547B" w:rsidP="001B547B">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1B547B" w:rsidRDefault="001B547B" w:rsidP="001B547B">
      <w:pPr>
        <w:rPr>
          <w:szCs w:val="21"/>
        </w:rPr>
      </w:pPr>
    </w:p>
    <w:p w:rsidR="001B547B" w:rsidRDefault="001B547B" w:rsidP="001B547B">
      <w:pPr>
        <w:pStyle w:val="2"/>
        <w:numPr>
          <w:ilvl w:val="0"/>
          <w:numId w:val="4"/>
        </w:numPr>
        <w:spacing w:line="240" w:lineRule="auto"/>
      </w:pPr>
      <w:r>
        <w:t>报告期内超期未履行完毕的承诺事项</w:t>
      </w:r>
    </w:p>
    <w:p w:rsidR="001B547B" w:rsidRDefault="001B547B" w:rsidP="001B547B">
      <w:pPr>
        <w:autoSpaceDE w:val="0"/>
        <w:autoSpaceDN w:val="0"/>
        <w:adjustRightInd w:val="0"/>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1B547B" w:rsidRDefault="001B547B" w:rsidP="001B547B">
      <w:pPr>
        <w:widowControl w:val="0"/>
        <w:jc w:val="both"/>
        <w:rPr>
          <w:szCs w:val="21"/>
        </w:rPr>
      </w:pPr>
    </w:p>
    <w:p w:rsidR="001B547B" w:rsidRDefault="001B547B" w:rsidP="001B547B">
      <w:pPr>
        <w:pStyle w:val="2"/>
        <w:numPr>
          <w:ilvl w:val="0"/>
          <w:numId w:val="4"/>
        </w:numPr>
        <w:spacing w:line="240" w:lineRule="auto"/>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p w:rsidR="001B547B" w:rsidRDefault="001B547B" w:rsidP="001B547B">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1B547B" w:rsidRDefault="001B547B" w:rsidP="001B547B">
      <w:pPr>
        <w:rPr>
          <w:color w:val="008000"/>
          <w:szCs w:val="21"/>
        </w:rPr>
      </w:pPr>
    </w:p>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8"/>
        <w:gridCol w:w="2821"/>
      </w:tblGrid>
      <w:tr w:rsidR="001B547B" w:rsidTr="00113477">
        <w:tc>
          <w:tcPr>
            <w:tcW w:w="1378" w:type="dxa"/>
            <w:vAlign w:val="center"/>
          </w:tcPr>
          <w:p w:rsidR="001B547B" w:rsidRPr="009B7563" w:rsidRDefault="001B547B" w:rsidP="00864ACB">
            <w:pPr>
              <w:jc w:val="right"/>
            </w:pPr>
            <w:r w:rsidRPr="009B7563">
              <w:t>公司名称</w:t>
            </w:r>
          </w:p>
        </w:tc>
        <w:tc>
          <w:tcPr>
            <w:tcW w:w="2821" w:type="dxa"/>
          </w:tcPr>
          <w:p w:rsidR="001B547B" w:rsidRPr="009B7563" w:rsidRDefault="001B547B" w:rsidP="00864ACB">
            <w:r w:rsidRPr="009B7563">
              <w:rPr>
                <w:rFonts w:hint="eastAsia"/>
              </w:rPr>
              <w:t>钱江水利开发股份有限公司</w:t>
            </w:r>
          </w:p>
        </w:tc>
      </w:tr>
      <w:tr w:rsidR="001B547B" w:rsidTr="00113477">
        <w:tc>
          <w:tcPr>
            <w:tcW w:w="1378" w:type="dxa"/>
            <w:vAlign w:val="center"/>
          </w:tcPr>
          <w:p w:rsidR="001B547B" w:rsidRPr="009B7563" w:rsidRDefault="001B547B" w:rsidP="00864ACB">
            <w:pPr>
              <w:jc w:val="right"/>
            </w:pPr>
            <w:r w:rsidRPr="009B7563">
              <w:t>法定代表人</w:t>
            </w:r>
          </w:p>
        </w:tc>
        <w:tc>
          <w:tcPr>
            <w:tcW w:w="2821" w:type="dxa"/>
          </w:tcPr>
          <w:p w:rsidR="001B547B" w:rsidRPr="009B7563" w:rsidRDefault="001B547B" w:rsidP="00864ACB">
            <w:r w:rsidRPr="009B7563">
              <w:rPr>
                <w:rFonts w:hint="eastAsia"/>
              </w:rPr>
              <w:t>叶建桥</w:t>
            </w:r>
          </w:p>
        </w:tc>
      </w:tr>
      <w:tr w:rsidR="001B547B" w:rsidTr="00113477">
        <w:tc>
          <w:tcPr>
            <w:tcW w:w="1378" w:type="dxa"/>
            <w:vAlign w:val="center"/>
          </w:tcPr>
          <w:p w:rsidR="001B547B" w:rsidRPr="009B7563" w:rsidRDefault="001B547B" w:rsidP="00864ACB">
            <w:pPr>
              <w:jc w:val="right"/>
            </w:pPr>
            <w:r w:rsidRPr="009B7563">
              <w:t>日期</w:t>
            </w:r>
          </w:p>
        </w:tc>
        <w:tc>
          <w:tcPr>
            <w:tcW w:w="2821" w:type="dxa"/>
          </w:tcPr>
          <w:p w:rsidR="001B547B" w:rsidRPr="009B7563" w:rsidRDefault="001B547B" w:rsidP="00864ACB">
            <w:r w:rsidRPr="009B7563">
              <w:t>2021年4月29日</w:t>
            </w:r>
          </w:p>
        </w:tc>
      </w:tr>
    </w:tbl>
    <w:p w:rsidR="00886808" w:rsidRDefault="00886808"/>
    <w:sectPr w:rsidR="00886808"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55" w:rsidRDefault="00BE4855" w:rsidP="001B547B">
      <w:r>
        <w:separator/>
      </w:r>
    </w:p>
  </w:endnote>
  <w:endnote w:type="continuationSeparator" w:id="0">
    <w:p w:rsidR="00BE4855" w:rsidRDefault="00BE4855" w:rsidP="001B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7B" w:rsidRDefault="001B547B">
    <w:pPr>
      <w:pStyle w:val="a5"/>
      <w:jc w:val="center"/>
    </w:pPr>
    <w:r>
      <w:rPr>
        <w:b/>
        <w:sz w:val="24"/>
        <w:szCs w:val="24"/>
      </w:rPr>
      <w:fldChar w:fldCharType="begin"/>
    </w:r>
    <w:r>
      <w:rPr>
        <w:b/>
      </w:rPr>
      <w:instrText>PAGE</w:instrText>
    </w:r>
    <w:r>
      <w:rPr>
        <w:b/>
        <w:sz w:val="24"/>
        <w:szCs w:val="24"/>
      </w:rPr>
      <w:fldChar w:fldCharType="separate"/>
    </w:r>
    <w:r w:rsidR="00792E1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2E17">
      <w:rPr>
        <w:b/>
        <w:noProof/>
      </w:rPr>
      <w:t>6</w:t>
    </w:r>
    <w:r>
      <w:rPr>
        <w:b/>
        <w:sz w:val="24"/>
        <w:szCs w:val="24"/>
      </w:rPr>
      <w:fldChar w:fldCharType="end"/>
    </w:r>
  </w:p>
  <w:p w:rsidR="001B547B" w:rsidRDefault="001B547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55" w:rsidRDefault="00BE4855" w:rsidP="001B547B">
      <w:r>
        <w:separator/>
      </w:r>
    </w:p>
  </w:footnote>
  <w:footnote w:type="continuationSeparator" w:id="0">
    <w:p w:rsidR="00BE4855" w:rsidRDefault="00BE4855" w:rsidP="001B54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7B" w:rsidRPr="00910DBB" w:rsidRDefault="001B547B" w:rsidP="004539FD">
    <w:pPr>
      <w:pStyle w:val="a3"/>
      <w:tabs>
        <w:tab w:val="clear" w:pos="8306"/>
        <w:tab w:val="left" w:pos="8364"/>
        <w:tab w:val="left" w:pos="8505"/>
      </w:tabs>
      <w:ind w:rightChars="10" w:right="21"/>
      <w:rPr>
        <w:b/>
      </w:rPr>
    </w:pPr>
    <w:r>
      <w:rPr>
        <w:rFonts w:hint="eastAsia"/>
        <w:b/>
      </w:rPr>
      <w:t>2021年第一季度报告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6F"/>
    <w:rsid w:val="00004C15"/>
    <w:rsid w:val="00017375"/>
    <w:rsid w:val="000A0C3C"/>
    <w:rsid w:val="000C5A80"/>
    <w:rsid w:val="000D2019"/>
    <w:rsid w:val="000D217A"/>
    <w:rsid w:val="00113477"/>
    <w:rsid w:val="00117A6F"/>
    <w:rsid w:val="001B547B"/>
    <w:rsid w:val="001B60C6"/>
    <w:rsid w:val="001B6C7E"/>
    <w:rsid w:val="001F192B"/>
    <w:rsid w:val="00255B07"/>
    <w:rsid w:val="00292901"/>
    <w:rsid w:val="002A77DE"/>
    <w:rsid w:val="002B6EBB"/>
    <w:rsid w:val="00301774"/>
    <w:rsid w:val="00307624"/>
    <w:rsid w:val="003239D1"/>
    <w:rsid w:val="00342E65"/>
    <w:rsid w:val="00386CFC"/>
    <w:rsid w:val="003A193E"/>
    <w:rsid w:val="003E3F60"/>
    <w:rsid w:val="00474FD7"/>
    <w:rsid w:val="00480941"/>
    <w:rsid w:val="004D24CD"/>
    <w:rsid w:val="004D77D3"/>
    <w:rsid w:val="00513E36"/>
    <w:rsid w:val="005609D4"/>
    <w:rsid w:val="005C184C"/>
    <w:rsid w:val="005D74A6"/>
    <w:rsid w:val="00626054"/>
    <w:rsid w:val="006665EC"/>
    <w:rsid w:val="00695B25"/>
    <w:rsid w:val="006C39AF"/>
    <w:rsid w:val="006E1D74"/>
    <w:rsid w:val="00764EC1"/>
    <w:rsid w:val="007861C7"/>
    <w:rsid w:val="00792E17"/>
    <w:rsid w:val="007C6320"/>
    <w:rsid w:val="00815371"/>
    <w:rsid w:val="008248A4"/>
    <w:rsid w:val="00832E6D"/>
    <w:rsid w:val="0084478D"/>
    <w:rsid w:val="00860FC7"/>
    <w:rsid w:val="008826D0"/>
    <w:rsid w:val="00886808"/>
    <w:rsid w:val="008C4D6C"/>
    <w:rsid w:val="008D0B77"/>
    <w:rsid w:val="008D4CDE"/>
    <w:rsid w:val="00907BCE"/>
    <w:rsid w:val="00962F07"/>
    <w:rsid w:val="009755B6"/>
    <w:rsid w:val="00987F79"/>
    <w:rsid w:val="0099116D"/>
    <w:rsid w:val="009B5875"/>
    <w:rsid w:val="009C3282"/>
    <w:rsid w:val="009D6476"/>
    <w:rsid w:val="00A5261A"/>
    <w:rsid w:val="00A92C16"/>
    <w:rsid w:val="00AA2C29"/>
    <w:rsid w:val="00AB3B35"/>
    <w:rsid w:val="00AD325C"/>
    <w:rsid w:val="00AE0642"/>
    <w:rsid w:val="00B06783"/>
    <w:rsid w:val="00B71D70"/>
    <w:rsid w:val="00B823BB"/>
    <w:rsid w:val="00B844EE"/>
    <w:rsid w:val="00BC39F1"/>
    <w:rsid w:val="00BD3A5C"/>
    <w:rsid w:val="00BE4855"/>
    <w:rsid w:val="00C360CC"/>
    <w:rsid w:val="00C37BAD"/>
    <w:rsid w:val="00C77B3E"/>
    <w:rsid w:val="00C832BD"/>
    <w:rsid w:val="00CF4DF7"/>
    <w:rsid w:val="00D04A11"/>
    <w:rsid w:val="00D24B9E"/>
    <w:rsid w:val="00DC77A6"/>
    <w:rsid w:val="00E40B64"/>
    <w:rsid w:val="00E46501"/>
    <w:rsid w:val="00E52EA3"/>
    <w:rsid w:val="00E80275"/>
    <w:rsid w:val="00EA18AF"/>
    <w:rsid w:val="00EB1DB6"/>
    <w:rsid w:val="00EB1E8A"/>
    <w:rsid w:val="00EF233E"/>
    <w:rsid w:val="00EF46DD"/>
    <w:rsid w:val="00EF647F"/>
    <w:rsid w:val="00F05214"/>
    <w:rsid w:val="00F14AA3"/>
    <w:rsid w:val="00F37792"/>
    <w:rsid w:val="00F609C6"/>
    <w:rsid w:val="00FE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36ECF-2A01-437B-BAC6-2B3E20E2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47B"/>
    <w:rPr>
      <w:rFonts w:ascii="宋体" w:eastAsia="宋体" w:hAnsi="宋体" w:cs="Times New Roman"/>
      <w:color w:val="000000"/>
      <w:kern w:val="0"/>
      <w:szCs w:val="20"/>
    </w:rPr>
  </w:style>
  <w:style w:type="paragraph" w:styleId="1">
    <w:name w:val="heading 1"/>
    <w:basedOn w:val="a"/>
    <w:next w:val="a"/>
    <w:link w:val="10"/>
    <w:uiPriority w:val="99"/>
    <w:qFormat/>
    <w:rsid w:val="001B547B"/>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0"/>
    <w:autoRedefine/>
    <w:qFormat/>
    <w:rsid w:val="001B547B"/>
    <w:pPr>
      <w:keepNext/>
      <w:keepLines/>
      <w:widowControl w:val="0"/>
      <w:numPr>
        <w:numId w:val="2"/>
      </w:numPr>
      <w:tabs>
        <w:tab w:val="left" w:pos="546"/>
      </w:tabs>
      <w:adjustRightInd w:val="0"/>
      <w:spacing w:before="120" w:after="120" w:line="480" w:lineRule="atLeast"/>
      <w:outlineLvl w:val="1"/>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54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547B"/>
    <w:rPr>
      <w:sz w:val="18"/>
      <w:szCs w:val="18"/>
    </w:rPr>
  </w:style>
  <w:style w:type="paragraph" w:styleId="a5">
    <w:name w:val="footer"/>
    <w:basedOn w:val="a"/>
    <w:link w:val="a6"/>
    <w:uiPriority w:val="99"/>
    <w:unhideWhenUsed/>
    <w:rsid w:val="001B547B"/>
    <w:pPr>
      <w:tabs>
        <w:tab w:val="center" w:pos="4153"/>
        <w:tab w:val="right" w:pos="8306"/>
      </w:tabs>
      <w:snapToGrid w:val="0"/>
    </w:pPr>
    <w:rPr>
      <w:sz w:val="18"/>
      <w:szCs w:val="18"/>
    </w:rPr>
  </w:style>
  <w:style w:type="character" w:customStyle="1" w:styleId="a6">
    <w:name w:val="页脚 字符"/>
    <w:basedOn w:val="a0"/>
    <w:link w:val="a5"/>
    <w:uiPriority w:val="99"/>
    <w:rsid w:val="001B547B"/>
    <w:rPr>
      <w:sz w:val="18"/>
      <w:szCs w:val="18"/>
    </w:rPr>
  </w:style>
  <w:style w:type="character" w:customStyle="1" w:styleId="10">
    <w:name w:val="标题 1 字符"/>
    <w:basedOn w:val="a0"/>
    <w:link w:val="1"/>
    <w:uiPriority w:val="99"/>
    <w:rsid w:val="001B547B"/>
    <w:rPr>
      <w:rFonts w:ascii="宋体" w:eastAsia="宋体" w:hAnsi="宋体" w:cs="Times New Roman"/>
      <w:b/>
      <w:color w:val="000000"/>
      <w:kern w:val="44"/>
      <w:sz w:val="44"/>
      <w:szCs w:val="20"/>
    </w:rPr>
  </w:style>
  <w:style w:type="character" w:customStyle="1" w:styleId="20">
    <w:name w:val="标题 2 字符"/>
    <w:aliases w:val="标题 2 Char Char Char 字符"/>
    <w:basedOn w:val="a0"/>
    <w:link w:val="2"/>
    <w:rsid w:val="001B547B"/>
    <w:rPr>
      <w:rFonts w:ascii="宋体" w:eastAsia="宋体" w:hAnsi="宋体"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6</cp:revision>
  <dcterms:created xsi:type="dcterms:W3CDTF">2021-04-23T03:46:00Z</dcterms:created>
  <dcterms:modified xsi:type="dcterms:W3CDTF">2021-04-25T01:45:00Z</dcterms:modified>
</cp:coreProperties>
</file>