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518"/>
        <w:gridCol w:w="3025"/>
        <w:gridCol w:w="2763"/>
      </w:tblGrid>
      <w:tr w:rsidR="005F3D76" w:rsidRPr="00DC33CB" w:rsidTr="004F4E70">
        <w:trPr>
          <w:trHeight w:hRule="exact" w:val="360"/>
        </w:trPr>
        <w:tc>
          <w:tcPr>
            <w:tcW w:w="2518" w:type="dxa"/>
            <w:tcBorders>
              <w:top w:val="nil"/>
              <w:left w:val="nil"/>
              <w:bottom w:val="nil"/>
              <w:right w:val="nil"/>
            </w:tcBorders>
            <w:vAlign w:val="center"/>
          </w:tcPr>
          <w:p w:rsidR="005F3D76" w:rsidRPr="00DC33CB" w:rsidRDefault="005F3D76" w:rsidP="004F4E70">
            <w:pPr>
              <w:pStyle w:val="TableParagraph"/>
              <w:spacing w:line="300" w:lineRule="exact"/>
              <w:rPr>
                <w:rFonts w:ascii="宋体" w:eastAsia="宋体" w:hAnsi="宋体" w:cs="黑体"/>
                <w:sz w:val="24"/>
                <w:szCs w:val="24"/>
                <w:lang w:eastAsia="zh-CN"/>
              </w:rPr>
            </w:pPr>
            <w:r w:rsidRPr="00DC33CB">
              <w:rPr>
                <w:rFonts w:ascii="宋体" w:eastAsia="宋体" w:hAnsi="宋体" w:cs="黑体" w:hint="eastAsia"/>
                <w:sz w:val="24"/>
                <w:szCs w:val="24"/>
                <w:lang w:eastAsia="zh-CN"/>
              </w:rPr>
              <w:t>股票简称：钱江水利</w:t>
            </w:r>
          </w:p>
        </w:tc>
        <w:tc>
          <w:tcPr>
            <w:tcW w:w="3025" w:type="dxa"/>
            <w:tcBorders>
              <w:top w:val="nil"/>
              <w:left w:val="nil"/>
              <w:bottom w:val="nil"/>
              <w:right w:val="nil"/>
            </w:tcBorders>
            <w:vAlign w:val="center"/>
          </w:tcPr>
          <w:p w:rsidR="005F3D76" w:rsidRPr="00DC33CB" w:rsidRDefault="005F3D76" w:rsidP="004F4E70">
            <w:pPr>
              <w:pStyle w:val="TableParagraph"/>
              <w:spacing w:line="300" w:lineRule="exact"/>
              <w:jc w:val="center"/>
              <w:rPr>
                <w:rFonts w:ascii="宋体" w:eastAsia="宋体" w:hAnsi="宋体" w:cs="黑体"/>
                <w:sz w:val="24"/>
                <w:szCs w:val="24"/>
                <w:lang w:eastAsia="zh-CN"/>
              </w:rPr>
            </w:pPr>
            <w:r w:rsidRPr="00DC33CB">
              <w:rPr>
                <w:rFonts w:ascii="宋体" w:eastAsia="宋体" w:hAnsi="宋体" w:cs="黑体" w:hint="eastAsia"/>
                <w:sz w:val="24"/>
                <w:szCs w:val="24"/>
                <w:lang w:eastAsia="zh-CN"/>
              </w:rPr>
              <w:t>股票代码</w:t>
            </w:r>
            <w:r w:rsidRPr="00DC33CB">
              <w:rPr>
                <w:rFonts w:ascii="宋体" w:eastAsia="宋体" w:hAnsi="宋体" w:cs="黑体"/>
                <w:sz w:val="24"/>
                <w:szCs w:val="24"/>
              </w:rPr>
              <w:t>：</w:t>
            </w:r>
            <w:r w:rsidRPr="00DC33CB">
              <w:rPr>
                <w:rFonts w:ascii="宋体" w:eastAsia="宋体" w:hAnsi="宋体" w:cs="黑体" w:hint="eastAsia"/>
                <w:sz w:val="24"/>
                <w:szCs w:val="24"/>
                <w:lang w:eastAsia="zh-CN"/>
              </w:rPr>
              <w:t>6</w:t>
            </w:r>
            <w:r w:rsidRPr="00DC33CB">
              <w:rPr>
                <w:rFonts w:ascii="宋体" w:eastAsia="宋体" w:hAnsi="宋体" w:cs="黑体"/>
                <w:sz w:val="24"/>
                <w:szCs w:val="24"/>
                <w:lang w:eastAsia="zh-CN"/>
              </w:rPr>
              <w:t>00283</w:t>
            </w:r>
          </w:p>
        </w:tc>
        <w:tc>
          <w:tcPr>
            <w:tcW w:w="2763" w:type="dxa"/>
            <w:tcBorders>
              <w:top w:val="nil"/>
              <w:left w:val="nil"/>
              <w:bottom w:val="nil"/>
              <w:right w:val="nil"/>
            </w:tcBorders>
            <w:vAlign w:val="center"/>
          </w:tcPr>
          <w:p w:rsidR="005F3D76" w:rsidRPr="00DC33CB" w:rsidRDefault="005F3D76" w:rsidP="004F4E70">
            <w:pPr>
              <w:pStyle w:val="TableParagraph"/>
              <w:spacing w:line="300" w:lineRule="exact"/>
              <w:ind w:firstLineChars="200" w:firstLine="480"/>
              <w:rPr>
                <w:rFonts w:ascii="宋体" w:eastAsia="宋体" w:hAnsi="宋体" w:cs="黑体"/>
                <w:sz w:val="24"/>
                <w:szCs w:val="24"/>
                <w:lang w:eastAsia="zh-CN"/>
              </w:rPr>
            </w:pPr>
            <w:proofErr w:type="spellStart"/>
            <w:r w:rsidRPr="00DC33CB">
              <w:rPr>
                <w:rFonts w:ascii="宋体" w:eastAsia="宋体" w:hAnsi="宋体" w:cs="黑体"/>
                <w:sz w:val="24"/>
                <w:szCs w:val="24"/>
              </w:rPr>
              <w:t>编号</w:t>
            </w:r>
            <w:proofErr w:type="spellEnd"/>
            <w:r w:rsidRPr="00DC33CB">
              <w:rPr>
                <w:rFonts w:ascii="宋体" w:eastAsia="宋体" w:hAnsi="宋体" w:cs="黑体"/>
                <w:sz w:val="24"/>
                <w:szCs w:val="24"/>
              </w:rPr>
              <w:t>：</w:t>
            </w:r>
            <w:r w:rsidRPr="00DC33CB">
              <w:rPr>
                <w:rFonts w:ascii="宋体" w:eastAsia="宋体" w:hAnsi="宋体" w:cs="黑体" w:hint="eastAsia"/>
                <w:sz w:val="24"/>
                <w:szCs w:val="24"/>
                <w:lang w:eastAsia="zh-CN"/>
              </w:rPr>
              <w:t>临</w:t>
            </w:r>
            <w:r w:rsidR="00527E00">
              <w:rPr>
                <w:rFonts w:ascii="宋体" w:eastAsia="宋体" w:hAnsi="宋体" w:cs="黑体"/>
                <w:sz w:val="24"/>
                <w:szCs w:val="24"/>
              </w:rPr>
              <w:t>2022</w:t>
            </w:r>
            <w:r w:rsidRPr="00DC33CB">
              <w:rPr>
                <w:rFonts w:ascii="宋体" w:eastAsia="宋体" w:hAnsi="宋体" w:cs="黑体" w:hint="eastAsia"/>
                <w:sz w:val="24"/>
                <w:szCs w:val="24"/>
                <w:lang w:eastAsia="zh-CN"/>
              </w:rPr>
              <w:t>-</w:t>
            </w:r>
            <w:r w:rsidR="00527E00">
              <w:rPr>
                <w:rFonts w:ascii="宋体" w:eastAsia="宋体" w:hAnsi="宋体" w:cs="黑体"/>
                <w:sz w:val="24"/>
                <w:szCs w:val="24"/>
                <w:lang w:eastAsia="zh-CN"/>
              </w:rPr>
              <w:t>00</w:t>
            </w:r>
            <w:r w:rsidR="00C24692">
              <w:rPr>
                <w:rFonts w:ascii="宋体" w:eastAsia="宋体" w:hAnsi="宋体" w:cs="黑体"/>
                <w:sz w:val="24"/>
                <w:szCs w:val="24"/>
                <w:lang w:eastAsia="zh-CN"/>
              </w:rPr>
              <w:t>1</w:t>
            </w:r>
          </w:p>
        </w:tc>
      </w:tr>
    </w:tbl>
    <w:p w:rsidR="005F3D76" w:rsidRPr="00DC33CB" w:rsidRDefault="005F3D76" w:rsidP="005F3D76">
      <w:pPr>
        <w:adjustRightInd w:val="0"/>
        <w:snapToGrid w:val="0"/>
        <w:spacing w:line="360" w:lineRule="auto"/>
        <w:ind w:firstLineChars="200" w:firstLine="420"/>
        <w:jc w:val="left"/>
        <w:rPr>
          <w:rFonts w:ascii="宋体" w:hAnsi="宋体"/>
        </w:rPr>
      </w:pPr>
    </w:p>
    <w:p w:rsidR="005F3D76" w:rsidRPr="00DC33CB" w:rsidRDefault="005F3D76" w:rsidP="005F3D76">
      <w:pPr>
        <w:pStyle w:val="p0"/>
        <w:adjustRightInd w:val="0"/>
        <w:snapToGrid w:val="0"/>
        <w:spacing w:line="360" w:lineRule="atLeast"/>
        <w:jc w:val="center"/>
        <w:rPr>
          <w:rFonts w:ascii="宋体" w:hAnsi="宋体"/>
          <w:b/>
          <w:color w:val="FF0000"/>
          <w:sz w:val="36"/>
          <w:szCs w:val="36"/>
        </w:rPr>
      </w:pPr>
      <w:r w:rsidRPr="00DC33CB">
        <w:rPr>
          <w:rFonts w:ascii="宋体" w:hAnsi="宋体" w:hint="eastAsia"/>
          <w:b/>
          <w:color w:val="FF0000"/>
          <w:sz w:val="36"/>
          <w:szCs w:val="36"/>
        </w:rPr>
        <w:t>钱江水利开发股份有限公司</w:t>
      </w:r>
    </w:p>
    <w:p w:rsidR="005F3D76" w:rsidRPr="00DC33CB" w:rsidRDefault="005F3D76" w:rsidP="005F3D76">
      <w:pPr>
        <w:pStyle w:val="p0"/>
        <w:adjustRightInd w:val="0"/>
        <w:snapToGrid w:val="0"/>
        <w:spacing w:line="360" w:lineRule="atLeast"/>
        <w:jc w:val="center"/>
        <w:rPr>
          <w:rFonts w:ascii="宋体" w:hAnsi="宋体"/>
          <w:b/>
          <w:color w:val="FF0000"/>
          <w:sz w:val="36"/>
          <w:szCs w:val="36"/>
        </w:rPr>
      </w:pPr>
      <w:r w:rsidRPr="00DC33CB">
        <w:rPr>
          <w:rFonts w:ascii="宋体" w:hAnsi="宋体" w:hint="eastAsia"/>
          <w:b/>
          <w:color w:val="FF0000"/>
          <w:sz w:val="36"/>
          <w:szCs w:val="36"/>
        </w:rPr>
        <w:t>关于公司实际控制人</w:t>
      </w:r>
      <w:proofErr w:type="gramStart"/>
      <w:r w:rsidRPr="00DC33CB">
        <w:rPr>
          <w:rFonts w:ascii="宋体" w:hAnsi="宋体" w:hint="eastAsia"/>
          <w:b/>
          <w:color w:val="FF0000"/>
          <w:sz w:val="36"/>
          <w:szCs w:val="36"/>
        </w:rPr>
        <w:t>拟发生</w:t>
      </w:r>
      <w:proofErr w:type="gramEnd"/>
      <w:r w:rsidRPr="00DC33CB">
        <w:rPr>
          <w:rFonts w:ascii="宋体" w:hAnsi="宋体" w:hint="eastAsia"/>
          <w:b/>
          <w:color w:val="FF0000"/>
          <w:sz w:val="36"/>
          <w:szCs w:val="36"/>
        </w:rPr>
        <w:t>变更</w:t>
      </w:r>
    </w:p>
    <w:p w:rsidR="005F3D76" w:rsidRPr="00DC33CB" w:rsidRDefault="005F3D76" w:rsidP="005F3D76">
      <w:pPr>
        <w:pStyle w:val="p0"/>
        <w:adjustRightInd w:val="0"/>
        <w:snapToGrid w:val="0"/>
        <w:spacing w:line="360" w:lineRule="atLeast"/>
        <w:jc w:val="center"/>
        <w:rPr>
          <w:rFonts w:ascii="宋体" w:hAnsi="宋体"/>
          <w:b/>
          <w:color w:val="FF0000"/>
          <w:sz w:val="36"/>
          <w:szCs w:val="36"/>
        </w:rPr>
      </w:pPr>
      <w:r w:rsidRPr="00DC33CB">
        <w:rPr>
          <w:rFonts w:ascii="宋体" w:hAnsi="宋体" w:hint="eastAsia"/>
          <w:b/>
          <w:color w:val="FF0000"/>
          <w:sz w:val="36"/>
          <w:szCs w:val="36"/>
        </w:rPr>
        <w:t xml:space="preserve">补充说明的公告 </w:t>
      </w:r>
    </w:p>
    <w:p w:rsidR="005F3D76" w:rsidRPr="00DC33CB" w:rsidRDefault="005F3D76" w:rsidP="005F3D76">
      <w:pPr>
        <w:pStyle w:val="Default"/>
        <w:rPr>
          <w:rFonts w:hAnsi="宋体"/>
        </w:rPr>
      </w:pPr>
    </w:p>
    <w:p w:rsidR="005F3D76" w:rsidRPr="003706BE" w:rsidRDefault="005F3D76" w:rsidP="00CA5BBE">
      <w:pPr>
        <w:pStyle w:val="Default"/>
        <w:spacing w:line="540" w:lineRule="exact"/>
        <w:ind w:firstLineChars="200" w:firstLine="480"/>
        <w:jc w:val="both"/>
        <w:rPr>
          <w:rFonts w:hAnsi="宋体"/>
        </w:rPr>
      </w:pPr>
      <w:r w:rsidRPr="003706BE">
        <w:rPr>
          <w:rFonts w:hAnsi="宋体" w:hint="eastAsia"/>
        </w:rPr>
        <w:t>本公司董事会及全体董事保证本公告内容不存在任何虚假记载、误导性陈述</w:t>
      </w:r>
      <w:r w:rsidR="00662278">
        <w:rPr>
          <w:rFonts w:hAnsi="宋体" w:hint="eastAsia"/>
        </w:rPr>
        <w:t>或者重大遗漏，并对其内容的真实性、准确性和完整性承担个别及连带责任。</w:t>
      </w:r>
    </w:p>
    <w:p w:rsidR="005F3D76" w:rsidRDefault="005F3D76" w:rsidP="00CA5BBE">
      <w:pPr>
        <w:pStyle w:val="Default"/>
        <w:spacing w:line="540" w:lineRule="exact"/>
        <w:ind w:firstLine="560"/>
        <w:jc w:val="both"/>
        <w:rPr>
          <w:rFonts w:hAnsi="宋体"/>
        </w:rPr>
      </w:pPr>
      <w:r w:rsidRPr="003706BE">
        <w:rPr>
          <w:rFonts w:hAnsi="宋体" w:hint="eastAsia"/>
        </w:rPr>
        <w:t>钱江水利开发股份有限公司（以下简称“钱江水利”或“公司”）于2</w:t>
      </w:r>
      <w:r w:rsidRPr="003706BE">
        <w:rPr>
          <w:rFonts w:hAnsi="宋体"/>
        </w:rPr>
        <w:t>021</w:t>
      </w:r>
      <w:r w:rsidRPr="003706BE">
        <w:rPr>
          <w:rFonts w:hAnsi="宋体" w:hint="eastAsia"/>
        </w:rPr>
        <w:t>年1</w:t>
      </w:r>
      <w:r w:rsidRPr="003706BE">
        <w:rPr>
          <w:rFonts w:hAnsi="宋体"/>
        </w:rPr>
        <w:t>2</w:t>
      </w:r>
      <w:r w:rsidRPr="003706BE">
        <w:rPr>
          <w:rFonts w:hAnsi="宋体" w:hint="eastAsia"/>
        </w:rPr>
        <w:t>月2</w:t>
      </w:r>
      <w:r w:rsidRPr="003706BE">
        <w:rPr>
          <w:rFonts w:hAnsi="宋体"/>
        </w:rPr>
        <w:t>8</w:t>
      </w:r>
      <w:r w:rsidRPr="003706BE">
        <w:rPr>
          <w:rFonts w:hAnsi="宋体" w:hint="eastAsia"/>
        </w:rPr>
        <w:t>日</w:t>
      </w:r>
      <w:r w:rsidR="00FA232B" w:rsidRPr="003706BE">
        <w:rPr>
          <w:rFonts w:hAnsi="宋体" w:hint="eastAsia"/>
        </w:rPr>
        <w:t>披露</w:t>
      </w:r>
      <w:r w:rsidRPr="003706BE">
        <w:rPr>
          <w:rFonts w:hAnsi="宋体" w:hint="eastAsia"/>
        </w:rPr>
        <w:t>了《钱江水利开发股份有限公司关于实控人可能发生变更的停牌公告》（公告临2</w:t>
      </w:r>
      <w:r w:rsidRPr="003706BE">
        <w:rPr>
          <w:rFonts w:hAnsi="宋体"/>
        </w:rPr>
        <w:t>021</w:t>
      </w:r>
      <w:r w:rsidRPr="003706BE">
        <w:rPr>
          <w:rFonts w:hAnsi="宋体" w:hint="eastAsia"/>
        </w:rPr>
        <w:t>--</w:t>
      </w:r>
      <w:r w:rsidR="00CA5BBE">
        <w:rPr>
          <w:rFonts w:hAnsi="宋体"/>
        </w:rPr>
        <w:t>03</w:t>
      </w:r>
      <w:r w:rsidR="005D55A1">
        <w:rPr>
          <w:rFonts w:hAnsi="宋体"/>
        </w:rPr>
        <w:t>1</w:t>
      </w:r>
      <w:r w:rsidRPr="003706BE">
        <w:rPr>
          <w:rFonts w:hAnsi="宋体" w:hint="eastAsia"/>
        </w:rPr>
        <w:t>），2</w:t>
      </w:r>
      <w:r w:rsidRPr="003706BE">
        <w:rPr>
          <w:rFonts w:hAnsi="宋体"/>
        </w:rPr>
        <w:t>021</w:t>
      </w:r>
      <w:r w:rsidRPr="003706BE">
        <w:rPr>
          <w:rFonts w:hAnsi="宋体" w:hint="eastAsia"/>
        </w:rPr>
        <w:t>年1</w:t>
      </w:r>
      <w:r w:rsidRPr="003706BE">
        <w:rPr>
          <w:rFonts w:hAnsi="宋体"/>
        </w:rPr>
        <w:t>2</w:t>
      </w:r>
      <w:r w:rsidRPr="003706BE">
        <w:rPr>
          <w:rFonts w:hAnsi="宋体" w:hint="eastAsia"/>
        </w:rPr>
        <w:t>月2</w:t>
      </w:r>
      <w:r w:rsidRPr="003706BE">
        <w:rPr>
          <w:rFonts w:hAnsi="宋体"/>
        </w:rPr>
        <w:t>9</w:t>
      </w:r>
      <w:r w:rsidRPr="003706BE">
        <w:rPr>
          <w:rFonts w:hAnsi="宋体" w:hint="eastAsia"/>
        </w:rPr>
        <w:t>日披露了《钱江水利开发股份有限公司关于公司实际控制人拟发生变更暨股票复牌的提示性公告 》（公告临2</w:t>
      </w:r>
      <w:r w:rsidRPr="003706BE">
        <w:rPr>
          <w:rFonts w:hAnsi="宋体"/>
        </w:rPr>
        <w:t>021</w:t>
      </w:r>
      <w:r w:rsidRPr="003706BE">
        <w:rPr>
          <w:rFonts w:hAnsi="宋体" w:hint="eastAsia"/>
        </w:rPr>
        <w:t>--</w:t>
      </w:r>
      <w:r w:rsidR="00CA5BBE">
        <w:rPr>
          <w:rFonts w:hAnsi="宋体"/>
        </w:rPr>
        <w:t>03</w:t>
      </w:r>
      <w:r w:rsidR="005D55A1">
        <w:rPr>
          <w:rFonts w:hAnsi="宋体"/>
        </w:rPr>
        <w:t>2</w:t>
      </w:r>
      <w:r w:rsidRPr="003706BE">
        <w:rPr>
          <w:rFonts w:hAnsi="宋体" w:hint="eastAsia"/>
        </w:rPr>
        <w:t>）、《</w:t>
      </w:r>
      <w:bookmarkStart w:id="0" w:name="_Hlk91274990"/>
      <w:r w:rsidRPr="003706BE">
        <w:rPr>
          <w:rFonts w:hAnsi="宋体" w:hint="eastAsia"/>
        </w:rPr>
        <w:t>钱江水利开发股份有限公司</w:t>
      </w:r>
      <w:bookmarkEnd w:id="0"/>
      <w:r w:rsidRPr="003706BE">
        <w:rPr>
          <w:rFonts w:hAnsi="宋体" w:hint="eastAsia"/>
        </w:rPr>
        <w:t>关于收到要约收购报告书摘要的提示性公告 》（公告临2</w:t>
      </w:r>
      <w:r w:rsidRPr="003706BE">
        <w:rPr>
          <w:rFonts w:hAnsi="宋体"/>
        </w:rPr>
        <w:t>021</w:t>
      </w:r>
      <w:r w:rsidRPr="003706BE">
        <w:rPr>
          <w:rFonts w:hAnsi="宋体" w:hint="eastAsia"/>
        </w:rPr>
        <w:t>--</w:t>
      </w:r>
      <w:r w:rsidRPr="003706BE">
        <w:rPr>
          <w:rFonts w:hAnsi="宋体"/>
        </w:rPr>
        <w:t>033</w:t>
      </w:r>
      <w:r w:rsidR="00CF6D34" w:rsidRPr="003706BE">
        <w:rPr>
          <w:rFonts w:hAnsi="宋体" w:hint="eastAsia"/>
        </w:rPr>
        <w:t>）</w:t>
      </w:r>
      <w:r w:rsidR="00C053C8">
        <w:rPr>
          <w:rFonts w:hAnsi="宋体" w:hint="eastAsia"/>
        </w:rPr>
        <w:t>、《钱江水利开发股份有限公司</w:t>
      </w:r>
      <w:r w:rsidR="00C053C8" w:rsidRPr="003706BE">
        <w:rPr>
          <w:rFonts w:hAnsi="宋体" w:hint="eastAsia"/>
        </w:rPr>
        <w:t>要约收购报告书摘要</w:t>
      </w:r>
      <w:r w:rsidR="00C053C8">
        <w:rPr>
          <w:rFonts w:hAnsi="宋体" w:hint="eastAsia"/>
        </w:rPr>
        <w:t>》</w:t>
      </w:r>
      <w:r w:rsidR="00C766EF">
        <w:rPr>
          <w:rFonts w:hAnsi="宋体" w:hint="eastAsia"/>
        </w:rPr>
        <w:t>。</w:t>
      </w:r>
    </w:p>
    <w:p w:rsidR="00A832CF" w:rsidRPr="003706BE" w:rsidRDefault="00A832CF" w:rsidP="00CA5BBE">
      <w:pPr>
        <w:pStyle w:val="Default"/>
        <w:spacing w:line="540" w:lineRule="exact"/>
        <w:ind w:firstLine="560"/>
        <w:jc w:val="both"/>
        <w:rPr>
          <w:rFonts w:hAnsi="宋体"/>
        </w:rPr>
      </w:pPr>
      <w:r w:rsidRPr="00A832CF">
        <w:rPr>
          <w:rFonts w:hAnsi="宋体" w:hint="eastAsia"/>
        </w:rPr>
        <w:t>今日公司收到中国电力建设集团有限公司</w:t>
      </w:r>
      <w:r w:rsidRPr="003706BE">
        <w:rPr>
          <w:rFonts w:hAnsi="宋体"/>
        </w:rPr>
        <w:t>（以下简称“电建集团”）</w:t>
      </w:r>
      <w:r w:rsidRPr="00A832CF">
        <w:rPr>
          <w:rFonts w:hAnsi="宋体" w:hint="eastAsia"/>
        </w:rPr>
        <w:t>就相关事项的补充说明，主要内容如下：</w:t>
      </w:r>
    </w:p>
    <w:p w:rsidR="00CD57E3" w:rsidRPr="003706BE"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2</w:t>
      </w:r>
      <w:r w:rsidRPr="003706BE">
        <w:rPr>
          <w:rFonts w:ascii="宋体" w:hAnsi="宋体"/>
          <w:sz w:val="24"/>
          <w:szCs w:val="24"/>
        </w:rPr>
        <w:t>021</w:t>
      </w:r>
      <w:r w:rsidRPr="003706BE">
        <w:rPr>
          <w:rFonts w:ascii="宋体" w:hAnsi="宋体" w:hint="eastAsia"/>
          <w:sz w:val="24"/>
          <w:szCs w:val="24"/>
        </w:rPr>
        <w:t>年1</w:t>
      </w:r>
      <w:r w:rsidRPr="003706BE">
        <w:rPr>
          <w:rFonts w:ascii="宋体" w:hAnsi="宋体"/>
          <w:sz w:val="24"/>
          <w:szCs w:val="24"/>
        </w:rPr>
        <w:t>2</w:t>
      </w:r>
      <w:r w:rsidRPr="003706BE">
        <w:rPr>
          <w:rFonts w:ascii="宋体" w:hAnsi="宋体" w:hint="eastAsia"/>
          <w:sz w:val="24"/>
          <w:szCs w:val="24"/>
        </w:rPr>
        <w:t>月2</w:t>
      </w:r>
      <w:r w:rsidRPr="003706BE">
        <w:rPr>
          <w:rFonts w:ascii="宋体" w:hAnsi="宋体"/>
          <w:sz w:val="24"/>
          <w:szCs w:val="24"/>
        </w:rPr>
        <w:t>9</w:t>
      </w:r>
      <w:r w:rsidRPr="003706BE">
        <w:rPr>
          <w:rFonts w:ascii="宋体" w:hAnsi="宋体" w:hint="eastAsia"/>
          <w:sz w:val="24"/>
          <w:szCs w:val="24"/>
        </w:rPr>
        <w:t>日</w:t>
      </w:r>
      <w:r w:rsidR="0033010E" w:rsidRPr="003706BE">
        <w:rPr>
          <w:rFonts w:ascii="宋体" w:hAnsi="宋体" w:hint="eastAsia"/>
          <w:sz w:val="24"/>
          <w:szCs w:val="24"/>
        </w:rPr>
        <w:t>公司</w:t>
      </w:r>
      <w:r w:rsidRPr="003706BE">
        <w:rPr>
          <w:rFonts w:ascii="宋体" w:hAnsi="宋体" w:hint="eastAsia"/>
          <w:sz w:val="24"/>
          <w:szCs w:val="24"/>
        </w:rPr>
        <w:t>披露</w:t>
      </w:r>
      <w:r w:rsidR="0033010E" w:rsidRPr="003706BE">
        <w:rPr>
          <w:rFonts w:ascii="宋体" w:hAnsi="宋体" w:hint="eastAsia"/>
          <w:sz w:val="24"/>
          <w:szCs w:val="24"/>
        </w:rPr>
        <w:t>《钱江水利开发股份有限公司关于收到要约收购报告书摘要的提示性公告》</w:t>
      </w:r>
      <w:r w:rsidRPr="003706BE">
        <w:rPr>
          <w:rFonts w:ascii="宋体" w:hAnsi="宋体" w:hint="eastAsia"/>
          <w:sz w:val="24"/>
          <w:szCs w:val="24"/>
        </w:rPr>
        <w:t>前</w:t>
      </w:r>
      <w:r w:rsidRPr="003706BE">
        <w:rPr>
          <w:rFonts w:ascii="宋体" w:hAnsi="宋体"/>
          <w:sz w:val="24"/>
          <w:szCs w:val="24"/>
        </w:rPr>
        <w:t>，</w:t>
      </w:r>
      <w:r w:rsidR="00A832CF" w:rsidRPr="003706BE">
        <w:rPr>
          <w:rFonts w:ascii="宋体" w:hAnsi="宋体"/>
          <w:sz w:val="24"/>
          <w:szCs w:val="24"/>
        </w:rPr>
        <w:t>电建集团</w:t>
      </w:r>
      <w:r w:rsidRPr="003706BE">
        <w:rPr>
          <w:rFonts w:ascii="宋体" w:hAnsi="宋体"/>
          <w:sz w:val="24"/>
          <w:szCs w:val="24"/>
        </w:rPr>
        <w:t>与</w:t>
      </w:r>
      <w:proofErr w:type="gramStart"/>
      <w:r w:rsidRPr="003706BE">
        <w:rPr>
          <w:rFonts w:ascii="宋体" w:hAnsi="宋体"/>
          <w:sz w:val="24"/>
          <w:szCs w:val="24"/>
        </w:rPr>
        <w:t>浙商铁汉</w:t>
      </w:r>
      <w:proofErr w:type="gramEnd"/>
      <w:r w:rsidRPr="003706BE">
        <w:rPr>
          <w:rFonts w:ascii="宋体" w:hAnsi="宋体"/>
          <w:sz w:val="24"/>
          <w:szCs w:val="24"/>
        </w:rPr>
        <w:t>（深圳）生态产业投资合伙企业及黄春青（以下合称“转让方”）签署了《受让股权协议书》，受让转让方所持有的</w:t>
      </w:r>
      <w:r w:rsidRPr="003706BE">
        <w:rPr>
          <w:rFonts w:ascii="宋体" w:hAnsi="宋体" w:hint="eastAsia"/>
          <w:sz w:val="24"/>
          <w:szCs w:val="24"/>
        </w:rPr>
        <w:t>深圳市华海投资管理有限公司（以下简称“</w:t>
      </w:r>
      <w:r w:rsidRPr="003706BE">
        <w:rPr>
          <w:rFonts w:ascii="宋体" w:hAnsi="宋体"/>
          <w:sz w:val="24"/>
          <w:szCs w:val="24"/>
        </w:rPr>
        <w:t>深圳华海</w:t>
      </w:r>
      <w:r w:rsidRPr="003706BE">
        <w:rPr>
          <w:rFonts w:ascii="宋体" w:hAnsi="宋体" w:hint="eastAsia"/>
          <w:sz w:val="24"/>
          <w:szCs w:val="24"/>
        </w:rPr>
        <w:t>”）</w:t>
      </w:r>
      <w:r w:rsidRPr="003706BE">
        <w:rPr>
          <w:rFonts w:ascii="宋体" w:hAnsi="宋体"/>
          <w:sz w:val="24"/>
          <w:szCs w:val="24"/>
        </w:rPr>
        <w:t>100%股权</w:t>
      </w:r>
      <w:r w:rsidRPr="003706BE">
        <w:rPr>
          <w:rFonts w:ascii="宋体" w:hAnsi="宋体" w:hint="eastAsia"/>
          <w:sz w:val="24"/>
          <w:szCs w:val="24"/>
        </w:rPr>
        <w:t>，从而通过深圳华海持有中国水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投资有限公司（以下简称“中国水务”）</w:t>
      </w:r>
      <w:r w:rsidRPr="003706BE">
        <w:rPr>
          <w:rFonts w:ascii="宋体" w:hAnsi="宋体"/>
          <w:sz w:val="24"/>
          <w:szCs w:val="24"/>
        </w:rPr>
        <w:t>6.42%的股权</w:t>
      </w:r>
      <w:r w:rsidRPr="003706BE">
        <w:rPr>
          <w:rFonts w:ascii="宋体" w:hAnsi="宋体" w:hint="eastAsia"/>
          <w:sz w:val="24"/>
          <w:szCs w:val="24"/>
        </w:rPr>
        <w:t>。该次股权转让于2</w:t>
      </w:r>
      <w:r w:rsidRPr="003706BE">
        <w:rPr>
          <w:rFonts w:ascii="宋体" w:hAnsi="宋体"/>
          <w:sz w:val="24"/>
          <w:szCs w:val="24"/>
        </w:rPr>
        <w:t>021</w:t>
      </w:r>
      <w:r w:rsidRPr="003706BE">
        <w:rPr>
          <w:rFonts w:ascii="宋体" w:hAnsi="宋体" w:hint="eastAsia"/>
          <w:sz w:val="24"/>
          <w:szCs w:val="24"/>
        </w:rPr>
        <w:t>年1</w:t>
      </w:r>
      <w:r w:rsidRPr="003706BE">
        <w:rPr>
          <w:rFonts w:ascii="宋体" w:hAnsi="宋体"/>
          <w:sz w:val="24"/>
          <w:szCs w:val="24"/>
        </w:rPr>
        <w:t>2</w:t>
      </w:r>
      <w:r w:rsidRPr="003706BE">
        <w:rPr>
          <w:rFonts w:ascii="宋体" w:hAnsi="宋体" w:hint="eastAsia"/>
          <w:sz w:val="24"/>
          <w:szCs w:val="24"/>
        </w:rPr>
        <w:t>月1</w:t>
      </w:r>
      <w:r w:rsidRPr="003706BE">
        <w:rPr>
          <w:rFonts w:ascii="宋体" w:hAnsi="宋体"/>
          <w:sz w:val="24"/>
          <w:szCs w:val="24"/>
        </w:rPr>
        <w:t>5</w:t>
      </w:r>
      <w:r w:rsidRPr="003706BE">
        <w:rPr>
          <w:rFonts w:ascii="宋体" w:hAnsi="宋体" w:hint="eastAsia"/>
          <w:sz w:val="24"/>
          <w:szCs w:val="24"/>
        </w:rPr>
        <w:t>日完成工商变更登记，收购后电建集团直接及间接持有中国水</w:t>
      </w:r>
      <w:proofErr w:type="gramStart"/>
      <w:r w:rsidRPr="003706BE">
        <w:rPr>
          <w:rFonts w:ascii="宋体" w:hAnsi="宋体" w:hint="eastAsia"/>
          <w:sz w:val="24"/>
          <w:szCs w:val="24"/>
        </w:rPr>
        <w:t>务</w:t>
      </w:r>
      <w:proofErr w:type="gramEnd"/>
      <w:r w:rsidRPr="003706BE">
        <w:rPr>
          <w:rFonts w:ascii="宋体" w:hAnsi="宋体"/>
          <w:sz w:val="24"/>
          <w:szCs w:val="24"/>
        </w:rPr>
        <w:t>31.42%的股权</w:t>
      </w:r>
      <w:r w:rsidR="0033010E" w:rsidRPr="003706BE">
        <w:rPr>
          <w:rFonts w:ascii="宋体" w:hAnsi="宋体" w:hint="eastAsia"/>
          <w:sz w:val="24"/>
          <w:szCs w:val="24"/>
        </w:rPr>
        <w:t>（</w:t>
      </w:r>
      <w:r w:rsidR="00357705">
        <w:rPr>
          <w:rFonts w:ascii="宋体" w:hAnsi="宋体" w:hint="eastAsia"/>
          <w:sz w:val="24"/>
          <w:szCs w:val="24"/>
        </w:rPr>
        <w:t>以下</w:t>
      </w:r>
      <w:r w:rsidR="0033010E" w:rsidRPr="003706BE">
        <w:rPr>
          <w:rFonts w:ascii="宋体" w:hAnsi="宋体" w:hint="eastAsia"/>
          <w:sz w:val="24"/>
          <w:szCs w:val="24"/>
        </w:rPr>
        <w:t>简称“前次收购”）</w:t>
      </w:r>
      <w:r w:rsidRPr="003706BE">
        <w:rPr>
          <w:rFonts w:ascii="宋体" w:hAnsi="宋体" w:hint="eastAsia"/>
          <w:sz w:val="24"/>
          <w:szCs w:val="24"/>
        </w:rPr>
        <w:t>，</w:t>
      </w:r>
      <w:r w:rsidRPr="003706BE">
        <w:rPr>
          <w:rFonts w:ascii="宋体" w:hAnsi="宋体"/>
          <w:sz w:val="24"/>
          <w:szCs w:val="24"/>
        </w:rPr>
        <w:t>成为</w:t>
      </w:r>
      <w:r w:rsidRPr="003706BE">
        <w:rPr>
          <w:rFonts w:ascii="宋体" w:hAnsi="宋体" w:hint="eastAsia"/>
          <w:sz w:val="24"/>
          <w:szCs w:val="24"/>
        </w:rPr>
        <w:t>中国水</w:t>
      </w:r>
      <w:proofErr w:type="gramStart"/>
      <w:r w:rsidRPr="003706BE">
        <w:rPr>
          <w:rFonts w:ascii="宋体" w:hAnsi="宋体" w:hint="eastAsia"/>
          <w:sz w:val="24"/>
          <w:szCs w:val="24"/>
        </w:rPr>
        <w:t>务</w:t>
      </w:r>
      <w:proofErr w:type="gramEnd"/>
      <w:r w:rsidRPr="003706BE">
        <w:rPr>
          <w:rFonts w:ascii="宋体" w:hAnsi="宋体"/>
          <w:sz w:val="24"/>
          <w:szCs w:val="24"/>
        </w:rPr>
        <w:t>第一大股东</w:t>
      </w:r>
      <w:r w:rsidRPr="003706BE">
        <w:rPr>
          <w:rFonts w:ascii="宋体" w:hAnsi="宋体" w:hint="eastAsia"/>
          <w:sz w:val="24"/>
          <w:szCs w:val="24"/>
        </w:rPr>
        <w:t>，但不构成中国水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及钱江水利实际控制人变化。主要原因如下：</w:t>
      </w:r>
    </w:p>
    <w:p w:rsidR="00CD57E3" w:rsidRPr="003706BE" w:rsidRDefault="00CD57E3" w:rsidP="00CA5BBE">
      <w:pPr>
        <w:spacing w:beforeLines="50" w:before="156" w:afterLines="50" w:after="156" w:line="540" w:lineRule="exact"/>
        <w:ind w:firstLineChars="200" w:firstLine="482"/>
        <w:rPr>
          <w:rFonts w:ascii="宋体" w:hAnsi="宋体"/>
          <w:b/>
          <w:bCs/>
          <w:sz w:val="24"/>
          <w:szCs w:val="24"/>
        </w:rPr>
      </w:pPr>
      <w:r w:rsidRPr="003706BE">
        <w:rPr>
          <w:rFonts w:ascii="宋体" w:hAnsi="宋体" w:hint="eastAsia"/>
          <w:b/>
          <w:bCs/>
          <w:sz w:val="24"/>
          <w:szCs w:val="24"/>
        </w:rPr>
        <w:t>一、</w:t>
      </w:r>
      <w:r w:rsidRPr="003706BE">
        <w:rPr>
          <w:rFonts w:ascii="宋体" w:hAnsi="宋体"/>
          <w:b/>
          <w:bCs/>
          <w:sz w:val="24"/>
          <w:szCs w:val="24"/>
        </w:rPr>
        <w:t>前次收购</w:t>
      </w:r>
      <w:r w:rsidRPr="003706BE">
        <w:rPr>
          <w:rFonts w:ascii="宋体" w:hAnsi="宋体" w:hint="eastAsia"/>
          <w:b/>
          <w:bCs/>
          <w:sz w:val="24"/>
          <w:szCs w:val="24"/>
        </w:rPr>
        <w:t>后电建集团持有中国水</w:t>
      </w:r>
      <w:proofErr w:type="gramStart"/>
      <w:r w:rsidRPr="003706BE">
        <w:rPr>
          <w:rFonts w:ascii="宋体" w:hAnsi="宋体" w:hint="eastAsia"/>
          <w:b/>
          <w:bCs/>
          <w:sz w:val="24"/>
          <w:szCs w:val="24"/>
        </w:rPr>
        <w:t>务</w:t>
      </w:r>
      <w:proofErr w:type="gramEnd"/>
      <w:r w:rsidRPr="003706BE">
        <w:rPr>
          <w:rFonts w:ascii="宋体" w:hAnsi="宋体" w:hint="eastAsia"/>
          <w:b/>
          <w:bCs/>
          <w:sz w:val="24"/>
          <w:szCs w:val="24"/>
        </w:rPr>
        <w:t>的股权未过半数，无法主导中国水</w:t>
      </w:r>
      <w:proofErr w:type="gramStart"/>
      <w:r w:rsidRPr="003706BE">
        <w:rPr>
          <w:rFonts w:ascii="宋体" w:hAnsi="宋体" w:hint="eastAsia"/>
          <w:b/>
          <w:bCs/>
          <w:sz w:val="24"/>
          <w:szCs w:val="24"/>
        </w:rPr>
        <w:t>务</w:t>
      </w:r>
      <w:proofErr w:type="gramEnd"/>
      <w:r w:rsidRPr="003706BE">
        <w:rPr>
          <w:rFonts w:ascii="宋体" w:hAnsi="宋体" w:hint="eastAsia"/>
          <w:b/>
          <w:bCs/>
          <w:sz w:val="24"/>
          <w:szCs w:val="24"/>
        </w:rPr>
        <w:t>股东会、董事会决策</w:t>
      </w:r>
    </w:p>
    <w:p w:rsidR="00CD57E3" w:rsidRPr="003706BE"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lastRenderedPageBreak/>
        <w:t>按照中国水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公司章程约定，中国水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股东会是最高决策机构，选举董事、监事事项需由代表半数以上表决权的股东表决通过。而前次收购后电建集团的持股比例为3</w:t>
      </w:r>
      <w:r w:rsidRPr="003706BE">
        <w:rPr>
          <w:rFonts w:ascii="宋体" w:hAnsi="宋体"/>
          <w:sz w:val="24"/>
          <w:szCs w:val="24"/>
        </w:rPr>
        <w:t>1.42</w:t>
      </w:r>
      <w:r w:rsidRPr="003706BE">
        <w:rPr>
          <w:rFonts w:ascii="宋体" w:hAnsi="宋体" w:hint="eastAsia"/>
          <w:sz w:val="24"/>
          <w:szCs w:val="24"/>
        </w:rPr>
        <w:t>%，未过半数，不具备改组中国水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董事会的条件，无法改组中国水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董事会。</w:t>
      </w:r>
    </w:p>
    <w:p w:rsidR="00CD57E3" w:rsidRPr="003706BE"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在中国水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董事会和高管层面，前次收购后中国水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的董事和高管未发生调整，董事长和总经理仍由</w:t>
      </w:r>
      <w:r w:rsidR="00A832CF">
        <w:rPr>
          <w:rFonts w:ascii="宋体" w:hAnsi="宋体" w:hint="eastAsia"/>
          <w:sz w:val="24"/>
          <w:szCs w:val="24"/>
        </w:rPr>
        <w:t>新华水利控股集团公司（以下简称“</w:t>
      </w:r>
      <w:r w:rsidRPr="003706BE">
        <w:rPr>
          <w:rFonts w:ascii="宋体" w:hAnsi="宋体" w:hint="eastAsia"/>
          <w:sz w:val="24"/>
          <w:szCs w:val="24"/>
        </w:rPr>
        <w:t>新华控股</w:t>
      </w:r>
      <w:r w:rsidR="00A832CF">
        <w:rPr>
          <w:rFonts w:ascii="宋体" w:hAnsi="宋体" w:hint="eastAsia"/>
          <w:sz w:val="24"/>
          <w:szCs w:val="24"/>
        </w:rPr>
        <w:t>”）</w:t>
      </w:r>
      <w:r w:rsidRPr="003706BE">
        <w:rPr>
          <w:rFonts w:ascii="宋体" w:hAnsi="宋体" w:hint="eastAsia"/>
          <w:sz w:val="24"/>
          <w:szCs w:val="24"/>
        </w:rPr>
        <w:t>委派和提名，中国水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生产经营仍由新华控股主导。</w:t>
      </w:r>
    </w:p>
    <w:p w:rsidR="00CD57E3" w:rsidRPr="003706BE"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鉴于前次收购后电建集团仍无法主导中国水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股东会和董事会决策，未能取得中国水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的控制权，中国水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实际上仍在新华控股的控制之下，因此前次收购后中国水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及上市公司钱江水利控制权没有发生变化。</w:t>
      </w:r>
    </w:p>
    <w:p w:rsidR="00CD57E3" w:rsidRPr="003706BE" w:rsidRDefault="00CD57E3" w:rsidP="00CA5BBE">
      <w:pPr>
        <w:spacing w:beforeLines="50" w:before="156" w:afterLines="50" w:after="156" w:line="540" w:lineRule="exact"/>
        <w:ind w:firstLineChars="200" w:firstLine="482"/>
        <w:rPr>
          <w:rFonts w:ascii="宋体" w:hAnsi="宋体"/>
          <w:b/>
          <w:bCs/>
          <w:sz w:val="24"/>
          <w:szCs w:val="24"/>
        </w:rPr>
      </w:pPr>
      <w:r w:rsidRPr="003706BE">
        <w:rPr>
          <w:rFonts w:ascii="宋体" w:hAnsi="宋体" w:hint="eastAsia"/>
          <w:b/>
          <w:bCs/>
          <w:sz w:val="24"/>
          <w:szCs w:val="24"/>
        </w:rPr>
        <w:t>二、前次收购后电建集团与其他股东持股差距较小，不能排除第一大股东再次变化的可能</w:t>
      </w:r>
    </w:p>
    <w:p w:rsidR="00CD57E3" w:rsidRPr="003706BE"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前次收购后电建集团直接及间接持有中国水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股权比例为</w:t>
      </w:r>
      <w:r w:rsidRPr="003706BE">
        <w:rPr>
          <w:rFonts w:ascii="宋体" w:hAnsi="宋体"/>
          <w:sz w:val="24"/>
          <w:szCs w:val="24"/>
        </w:rPr>
        <w:t>31.42%</w:t>
      </w:r>
      <w:r w:rsidRPr="003706BE">
        <w:rPr>
          <w:rFonts w:ascii="宋体" w:hAnsi="宋体" w:hint="eastAsia"/>
          <w:sz w:val="24"/>
          <w:szCs w:val="24"/>
        </w:rPr>
        <w:t>，不能排除其他股东通过参与股权摘牌、股权协议转让等方式成为中国水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控股股东，电建集团能否控股中国水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仍具有相当之不确定性。</w:t>
      </w:r>
    </w:p>
    <w:p w:rsidR="00CD57E3" w:rsidRDefault="00CD57E3"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在电建集团与</w:t>
      </w:r>
      <w:r w:rsidR="0033010E" w:rsidRPr="003706BE">
        <w:rPr>
          <w:rFonts w:ascii="宋体" w:hAnsi="宋体"/>
          <w:sz w:val="24"/>
          <w:szCs w:val="24"/>
        </w:rPr>
        <w:t>江阴市长江钢管有限公司</w:t>
      </w:r>
      <w:r w:rsidR="0033010E" w:rsidRPr="003706BE">
        <w:rPr>
          <w:rFonts w:ascii="宋体" w:hAnsi="宋体" w:hint="eastAsia"/>
          <w:sz w:val="24"/>
          <w:szCs w:val="24"/>
        </w:rPr>
        <w:t>（以下简称“</w:t>
      </w:r>
      <w:r w:rsidRPr="003706BE">
        <w:rPr>
          <w:rFonts w:ascii="宋体" w:hAnsi="宋体" w:hint="eastAsia"/>
          <w:sz w:val="24"/>
          <w:szCs w:val="24"/>
        </w:rPr>
        <w:t>江阴钢管</w:t>
      </w:r>
      <w:r w:rsidR="0033010E" w:rsidRPr="003706BE">
        <w:rPr>
          <w:rFonts w:ascii="宋体" w:hAnsi="宋体" w:hint="eastAsia"/>
          <w:sz w:val="24"/>
          <w:szCs w:val="24"/>
        </w:rPr>
        <w:t>”）</w:t>
      </w:r>
      <w:r w:rsidRPr="003706BE">
        <w:rPr>
          <w:rFonts w:ascii="宋体" w:hAnsi="宋体" w:hint="eastAsia"/>
          <w:sz w:val="24"/>
          <w:szCs w:val="24"/>
        </w:rPr>
        <w:t>签署《</w:t>
      </w:r>
      <w:r w:rsidRPr="003706BE">
        <w:rPr>
          <w:rFonts w:ascii="宋体" w:hAnsi="宋体"/>
          <w:sz w:val="24"/>
          <w:szCs w:val="24"/>
        </w:rPr>
        <w:t>中国电力建设集团有限公司受让江阴市长江钢管有限公司持有中国水务投资有限公司6%股权协议书</w:t>
      </w:r>
      <w:r w:rsidRPr="003706BE">
        <w:rPr>
          <w:rFonts w:ascii="宋体" w:hAnsi="宋体" w:hint="eastAsia"/>
          <w:sz w:val="24"/>
          <w:szCs w:val="24"/>
        </w:rPr>
        <w:t>》及其补充协议、电建集团与</w:t>
      </w:r>
      <w:r w:rsidR="0033010E" w:rsidRPr="003706BE">
        <w:rPr>
          <w:rFonts w:ascii="宋体" w:hAnsi="宋体" w:hint="eastAsia"/>
          <w:sz w:val="24"/>
          <w:szCs w:val="24"/>
        </w:rPr>
        <w:t>北京拓世诺金投资有限公司（以下简称“拓</w:t>
      </w:r>
      <w:proofErr w:type="gramStart"/>
      <w:r w:rsidR="0033010E" w:rsidRPr="003706BE">
        <w:rPr>
          <w:rFonts w:ascii="宋体" w:hAnsi="宋体" w:hint="eastAsia"/>
          <w:sz w:val="24"/>
          <w:szCs w:val="24"/>
        </w:rPr>
        <w:t>世</w:t>
      </w:r>
      <w:proofErr w:type="gramEnd"/>
      <w:r w:rsidR="0033010E" w:rsidRPr="003706BE">
        <w:rPr>
          <w:rFonts w:ascii="宋体" w:hAnsi="宋体" w:hint="eastAsia"/>
          <w:sz w:val="24"/>
          <w:szCs w:val="24"/>
        </w:rPr>
        <w:t>诺金”）</w:t>
      </w:r>
      <w:r w:rsidRPr="003706BE">
        <w:rPr>
          <w:rFonts w:ascii="宋体" w:hAnsi="宋体" w:hint="eastAsia"/>
          <w:sz w:val="24"/>
          <w:szCs w:val="24"/>
        </w:rPr>
        <w:t>签署《</w:t>
      </w:r>
      <w:r w:rsidRPr="003706BE">
        <w:rPr>
          <w:rFonts w:ascii="宋体" w:hAnsi="宋体"/>
          <w:sz w:val="24"/>
          <w:szCs w:val="24"/>
        </w:rPr>
        <w:t>北京产权交易所产权交易合同</w:t>
      </w:r>
      <w:r w:rsidRPr="003706BE">
        <w:rPr>
          <w:rFonts w:ascii="宋体" w:hAnsi="宋体" w:hint="eastAsia"/>
          <w:sz w:val="24"/>
          <w:szCs w:val="24"/>
        </w:rPr>
        <w:t>》以及</w:t>
      </w:r>
      <w:r w:rsidRPr="003706BE">
        <w:rPr>
          <w:rFonts w:ascii="宋体" w:hAnsi="宋体"/>
          <w:sz w:val="24"/>
          <w:szCs w:val="24"/>
        </w:rPr>
        <w:t>拓</w:t>
      </w:r>
      <w:proofErr w:type="gramStart"/>
      <w:r w:rsidRPr="003706BE">
        <w:rPr>
          <w:rFonts w:ascii="宋体" w:hAnsi="宋体"/>
          <w:sz w:val="24"/>
          <w:szCs w:val="24"/>
        </w:rPr>
        <w:t>世诺金</w:t>
      </w:r>
      <w:proofErr w:type="gramEnd"/>
      <w:r w:rsidRPr="003706BE">
        <w:rPr>
          <w:rFonts w:ascii="宋体" w:hAnsi="宋体"/>
          <w:sz w:val="24"/>
          <w:szCs w:val="24"/>
        </w:rPr>
        <w:t>向电建集团出具</w:t>
      </w:r>
      <w:r w:rsidRPr="003706BE">
        <w:rPr>
          <w:rFonts w:ascii="宋体" w:hAnsi="宋体" w:hint="eastAsia"/>
          <w:sz w:val="24"/>
          <w:szCs w:val="24"/>
        </w:rPr>
        <w:t>股东权利委托的</w:t>
      </w:r>
      <w:r w:rsidRPr="003706BE">
        <w:rPr>
          <w:rFonts w:ascii="宋体" w:hAnsi="宋体"/>
          <w:sz w:val="24"/>
          <w:szCs w:val="24"/>
        </w:rPr>
        <w:t>《承诺函》</w:t>
      </w:r>
      <w:r w:rsidRPr="003706BE">
        <w:rPr>
          <w:rFonts w:ascii="宋体" w:hAnsi="宋体" w:hint="eastAsia"/>
          <w:sz w:val="24"/>
          <w:szCs w:val="24"/>
        </w:rPr>
        <w:t>后</w:t>
      </w:r>
      <w:r w:rsidRPr="003706BE">
        <w:rPr>
          <w:rFonts w:ascii="宋体" w:hAnsi="宋体"/>
          <w:sz w:val="24"/>
          <w:szCs w:val="24"/>
        </w:rPr>
        <w:t>，</w:t>
      </w:r>
      <w:r w:rsidRPr="003706BE">
        <w:rPr>
          <w:rFonts w:ascii="宋体" w:hAnsi="宋体" w:hint="eastAsia"/>
          <w:sz w:val="24"/>
          <w:szCs w:val="24"/>
        </w:rPr>
        <w:t>电建集团直接及间接持有中国水</w:t>
      </w:r>
      <w:proofErr w:type="gramStart"/>
      <w:r w:rsidRPr="003706BE">
        <w:rPr>
          <w:rFonts w:ascii="宋体" w:hAnsi="宋体" w:hint="eastAsia"/>
          <w:sz w:val="24"/>
          <w:szCs w:val="24"/>
        </w:rPr>
        <w:t>务</w:t>
      </w:r>
      <w:proofErr w:type="gramEnd"/>
      <w:r w:rsidRPr="003706BE">
        <w:rPr>
          <w:rFonts w:ascii="宋体" w:hAnsi="宋体"/>
          <w:sz w:val="24"/>
          <w:szCs w:val="24"/>
        </w:rPr>
        <w:t>44.50%股权，并通过接受股东权利委托，享有中国水</w:t>
      </w:r>
      <w:proofErr w:type="gramStart"/>
      <w:r w:rsidRPr="003706BE">
        <w:rPr>
          <w:rFonts w:ascii="宋体" w:hAnsi="宋体"/>
          <w:sz w:val="24"/>
          <w:szCs w:val="24"/>
        </w:rPr>
        <w:t>务</w:t>
      </w:r>
      <w:proofErr w:type="gramEnd"/>
      <w:r w:rsidRPr="003706BE">
        <w:rPr>
          <w:rFonts w:ascii="宋体" w:hAnsi="宋体"/>
          <w:sz w:val="24"/>
          <w:szCs w:val="24"/>
        </w:rPr>
        <w:t>6.92%表决权</w:t>
      </w:r>
      <w:r w:rsidRPr="003706BE">
        <w:rPr>
          <w:rFonts w:ascii="宋体" w:hAnsi="宋体" w:hint="eastAsia"/>
          <w:sz w:val="24"/>
          <w:szCs w:val="24"/>
        </w:rPr>
        <w:t>（其中江阴钢管4%股权表决权委托为独家、无偿且不可撤销之委托，拓</w:t>
      </w:r>
      <w:proofErr w:type="gramStart"/>
      <w:r w:rsidRPr="003706BE">
        <w:rPr>
          <w:rFonts w:ascii="宋体" w:hAnsi="宋体" w:hint="eastAsia"/>
          <w:sz w:val="24"/>
          <w:szCs w:val="24"/>
        </w:rPr>
        <w:t>世诺金</w:t>
      </w:r>
      <w:proofErr w:type="gramEnd"/>
      <w:r w:rsidRPr="003706BE">
        <w:rPr>
          <w:rFonts w:ascii="宋体" w:hAnsi="宋体" w:hint="eastAsia"/>
          <w:sz w:val="24"/>
          <w:szCs w:val="24"/>
        </w:rPr>
        <w:t>2</w:t>
      </w:r>
      <w:r w:rsidRPr="003706BE">
        <w:rPr>
          <w:rFonts w:ascii="宋体" w:hAnsi="宋体"/>
          <w:sz w:val="24"/>
          <w:szCs w:val="24"/>
        </w:rPr>
        <w:t>.9167</w:t>
      </w:r>
      <w:r w:rsidRPr="003706BE">
        <w:rPr>
          <w:rFonts w:ascii="宋体" w:hAnsi="宋体" w:hint="eastAsia"/>
          <w:sz w:val="24"/>
          <w:szCs w:val="24"/>
        </w:rPr>
        <w:t>%股权委托期限为5年），</w:t>
      </w:r>
      <w:r w:rsidRPr="003706BE">
        <w:rPr>
          <w:rFonts w:ascii="宋体" w:hAnsi="宋体"/>
          <w:sz w:val="24"/>
          <w:szCs w:val="24"/>
        </w:rPr>
        <w:t>合计控制中国水</w:t>
      </w:r>
      <w:proofErr w:type="gramStart"/>
      <w:r w:rsidRPr="003706BE">
        <w:rPr>
          <w:rFonts w:ascii="宋体" w:hAnsi="宋体"/>
          <w:sz w:val="24"/>
          <w:szCs w:val="24"/>
        </w:rPr>
        <w:t>务</w:t>
      </w:r>
      <w:proofErr w:type="gramEnd"/>
      <w:r w:rsidRPr="003706BE">
        <w:rPr>
          <w:rFonts w:ascii="宋体" w:hAnsi="宋体"/>
          <w:sz w:val="24"/>
          <w:szCs w:val="24"/>
        </w:rPr>
        <w:t>51.42%股权，</w:t>
      </w:r>
      <w:r w:rsidR="00662278">
        <w:rPr>
          <w:rFonts w:ascii="宋体" w:hAnsi="宋体" w:hint="eastAsia"/>
          <w:sz w:val="24"/>
          <w:szCs w:val="24"/>
        </w:rPr>
        <w:t>上述交易完成后电建集团</w:t>
      </w:r>
      <w:r w:rsidRPr="003706BE">
        <w:rPr>
          <w:rFonts w:ascii="宋体" w:hAnsi="宋体"/>
          <w:sz w:val="24"/>
          <w:szCs w:val="24"/>
        </w:rPr>
        <w:t>成为中国水</w:t>
      </w:r>
      <w:proofErr w:type="gramStart"/>
      <w:r w:rsidRPr="003706BE">
        <w:rPr>
          <w:rFonts w:ascii="宋体" w:hAnsi="宋体"/>
          <w:sz w:val="24"/>
          <w:szCs w:val="24"/>
        </w:rPr>
        <w:t>务</w:t>
      </w:r>
      <w:proofErr w:type="gramEnd"/>
      <w:r w:rsidRPr="003706BE">
        <w:rPr>
          <w:rFonts w:ascii="宋体" w:hAnsi="宋体"/>
          <w:sz w:val="24"/>
          <w:szCs w:val="24"/>
        </w:rPr>
        <w:t>的控股股东</w:t>
      </w:r>
      <w:r w:rsidRPr="003706BE">
        <w:rPr>
          <w:rFonts w:ascii="宋体" w:hAnsi="宋体" w:hint="eastAsia"/>
          <w:sz w:val="24"/>
          <w:szCs w:val="24"/>
        </w:rPr>
        <w:t>，获得对中国水</w:t>
      </w:r>
      <w:proofErr w:type="gramStart"/>
      <w:r w:rsidRPr="003706BE">
        <w:rPr>
          <w:rFonts w:ascii="宋体" w:hAnsi="宋体" w:hint="eastAsia"/>
          <w:sz w:val="24"/>
          <w:szCs w:val="24"/>
        </w:rPr>
        <w:t>务</w:t>
      </w:r>
      <w:proofErr w:type="gramEnd"/>
      <w:r w:rsidRPr="003706BE">
        <w:rPr>
          <w:rFonts w:ascii="宋体" w:hAnsi="宋体" w:hint="eastAsia"/>
          <w:sz w:val="24"/>
          <w:szCs w:val="24"/>
        </w:rPr>
        <w:t>及下属上市公司钱江水利的控制权。</w:t>
      </w:r>
    </w:p>
    <w:p w:rsidR="00887BC0" w:rsidRPr="001B0FFF" w:rsidRDefault="00887BC0" w:rsidP="00CA5BBE">
      <w:pPr>
        <w:pStyle w:val="p0"/>
        <w:adjustRightInd w:val="0"/>
        <w:snapToGrid w:val="0"/>
        <w:spacing w:line="540" w:lineRule="exact"/>
        <w:ind w:firstLineChars="200" w:firstLine="480"/>
        <w:rPr>
          <w:rFonts w:ascii="宋体" w:hAnsi="宋体" w:cs="Times New Roman"/>
          <w:kern w:val="2"/>
        </w:rPr>
      </w:pPr>
      <w:r w:rsidRPr="001B0FFF">
        <w:rPr>
          <w:rFonts w:ascii="宋体" w:hAnsi="宋体" w:cs="Times New Roman" w:hint="eastAsia"/>
          <w:kern w:val="2"/>
        </w:rPr>
        <w:lastRenderedPageBreak/>
        <w:t>北京</w:t>
      </w:r>
      <w:r w:rsidR="001B0FFF">
        <w:rPr>
          <w:rFonts w:ascii="宋体" w:hAnsi="宋体" w:cs="Times New Roman" w:hint="eastAsia"/>
          <w:kern w:val="2"/>
        </w:rPr>
        <w:t>市</w:t>
      </w:r>
      <w:r w:rsidRPr="001B0FFF">
        <w:rPr>
          <w:rFonts w:ascii="宋体" w:hAnsi="宋体" w:cs="Times New Roman" w:hint="eastAsia"/>
          <w:kern w:val="2"/>
        </w:rPr>
        <w:t>嘉源律师事务所</w:t>
      </w:r>
      <w:r w:rsidR="001B0FFF">
        <w:rPr>
          <w:rFonts w:ascii="宋体" w:hAnsi="宋体" w:cs="Times New Roman" w:hint="eastAsia"/>
          <w:kern w:val="2"/>
        </w:rPr>
        <w:t>于2</w:t>
      </w:r>
      <w:r w:rsidR="001B0FFF">
        <w:rPr>
          <w:rFonts w:ascii="宋体" w:hAnsi="宋体" w:cs="Times New Roman"/>
          <w:kern w:val="2"/>
        </w:rPr>
        <w:t>022</w:t>
      </w:r>
      <w:r w:rsidR="001B0FFF">
        <w:rPr>
          <w:rFonts w:ascii="宋体" w:hAnsi="宋体" w:cs="Times New Roman" w:hint="eastAsia"/>
          <w:kern w:val="2"/>
        </w:rPr>
        <w:t>年1月4日</w:t>
      </w:r>
      <w:r w:rsidRPr="001B0FFF">
        <w:rPr>
          <w:rFonts w:ascii="宋体" w:hAnsi="宋体" w:cs="Times New Roman" w:hint="eastAsia"/>
          <w:kern w:val="2"/>
        </w:rPr>
        <w:t>出具《</w:t>
      </w:r>
      <w:r w:rsidR="001B0FFF">
        <w:rPr>
          <w:rFonts w:ascii="宋体" w:hAnsi="宋体" w:cs="Times New Roman" w:hint="eastAsia"/>
          <w:kern w:val="2"/>
        </w:rPr>
        <w:t>北京市嘉源律师事务所关于中国电力建设集团有限公司收购深圳市华海投资管理有限公司股权不构成钱江水利开发股份有限公司实际控制人变化的</w:t>
      </w:r>
      <w:r w:rsidRPr="001B0FFF">
        <w:rPr>
          <w:rFonts w:ascii="宋体" w:hAnsi="宋体" w:cs="Times New Roman" w:hint="eastAsia"/>
          <w:kern w:val="2"/>
        </w:rPr>
        <w:t>专项核查意见》，</w:t>
      </w:r>
      <w:r w:rsidR="00B86049">
        <w:rPr>
          <w:rFonts w:ascii="宋体" w:hAnsi="宋体" w:cs="Times New Roman" w:hint="eastAsia"/>
          <w:kern w:val="2"/>
        </w:rPr>
        <w:t>认为：电建集团收购华深圳华海1</w:t>
      </w:r>
      <w:r w:rsidR="00B86049">
        <w:rPr>
          <w:rFonts w:ascii="宋体" w:hAnsi="宋体" w:cs="Times New Roman"/>
          <w:kern w:val="2"/>
        </w:rPr>
        <w:t>00</w:t>
      </w:r>
      <w:r w:rsidR="00B86049">
        <w:rPr>
          <w:rFonts w:ascii="宋体" w:hAnsi="宋体" w:cs="Times New Roman" w:hint="eastAsia"/>
          <w:kern w:val="2"/>
        </w:rPr>
        <w:t>%股权完成后，直接及间接持有中国水务3</w:t>
      </w:r>
      <w:r w:rsidR="00B86049">
        <w:rPr>
          <w:rFonts w:ascii="宋体" w:hAnsi="宋体" w:cs="Times New Roman"/>
          <w:kern w:val="2"/>
        </w:rPr>
        <w:t>1</w:t>
      </w:r>
      <w:r w:rsidR="00B86049">
        <w:rPr>
          <w:rFonts w:ascii="宋体" w:hAnsi="宋体" w:cs="Times New Roman" w:hint="eastAsia"/>
          <w:kern w:val="2"/>
        </w:rPr>
        <w:t>.</w:t>
      </w:r>
      <w:r w:rsidR="00B86049">
        <w:rPr>
          <w:rFonts w:ascii="宋体" w:hAnsi="宋体" w:cs="Times New Roman"/>
          <w:kern w:val="2"/>
        </w:rPr>
        <w:t>42</w:t>
      </w:r>
      <w:r w:rsidR="00B86049">
        <w:rPr>
          <w:rFonts w:ascii="宋体" w:hAnsi="宋体" w:cs="Times New Roman" w:hint="eastAsia"/>
          <w:kern w:val="2"/>
        </w:rPr>
        <w:t>%的股权，成为中国水务第一大股东，但不构成中国水务及钱江水利实际控制人变化。</w:t>
      </w:r>
      <w:bookmarkStart w:id="1" w:name="_GoBack"/>
      <w:bookmarkEnd w:id="1"/>
      <w:r w:rsidR="00B86049" w:rsidRPr="001B0FFF">
        <w:rPr>
          <w:rFonts w:ascii="宋体" w:hAnsi="宋体" w:cs="Times New Roman"/>
          <w:kern w:val="2"/>
        </w:rPr>
        <w:t xml:space="preserve"> </w:t>
      </w:r>
    </w:p>
    <w:p w:rsidR="003706BE" w:rsidRPr="003706BE" w:rsidRDefault="003706BE" w:rsidP="00CA5BBE">
      <w:pPr>
        <w:spacing w:beforeLines="50" w:before="156" w:afterLines="50" w:after="156" w:line="540" w:lineRule="exact"/>
        <w:ind w:firstLineChars="200" w:firstLine="480"/>
        <w:rPr>
          <w:rFonts w:ascii="宋体" w:hAnsi="宋体"/>
          <w:sz w:val="24"/>
          <w:szCs w:val="24"/>
        </w:rPr>
      </w:pPr>
      <w:r w:rsidRPr="003706BE">
        <w:rPr>
          <w:rFonts w:ascii="宋体" w:hAnsi="宋体" w:hint="eastAsia"/>
          <w:sz w:val="24"/>
          <w:szCs w:val="24"/>
        </w:rPr>
        <w:t>特此公告。</w:t>
      </w:r>
    </w:p>
    <w:p w:rsidR="00D538A8" w:rsidRPr="003706BE" w:rsidRDefault="003706BE" w:rsidP="00CA5BBE">
      <w:pPr>
        <w:spacing w:beforeLines="50" w:before="156" w:afterLines="50" w:after="156" w:line="540" w:lineRule="exact"/>
        <w:ind w:firstLineChars="200" w:firstLine="480"/>
        <w:rPr>
          <w:rFonts w:ascii="宋体" w:hAnsi="宋体" w:cs="仿宋_GB2312"/>
          <w:kern w:val="0"/>
          <w:sz w:val="24"/>
          <w:szCs w:val="24"/>
        </w:rPr>
      </w:pPr>
      <w:r w:rsidRPr="003706BE">
        <w:rPr>
          <w:rFonts w:ascii="宋体" w:hAnsi="宋体" w:hint="eastAsia"/>
          <w:sz w:val="24"/>
          <w:szCs w:val="24"/>
        </w:rPr>
        <w:t xml:space="preserve"> </w:t>
      </w:r>
      <w:r w:rsidRPr="003706BE">
        <w:rPr>
          <w:rFonts w:ascii="宋体" w:hAnsi="宋体"/>
          <w:sz w:val="24"/>
          <w:szCs w:val="24"/>
        </w:rPr>
        <w:t xml:space="preserve">                       </w:t>
      </w:r>
    </w:p>
    <w:p w:rsidR="003706BE" w:rsidRDefault="00D538A8" w:rsidP="00CA5BBE">
      <w:pPr>
        <w:adjustRightInd w:val="0"/>
        <w:snapToGrid w:val="0"/>
        <w:spacing w:beforeLines="50" w:before="156" w:afterLines="50" w:after="156" w:line="540" w:lineRule="exact"/>
        <w:rPr>
          <w:rFonts w:ascii="宋体" w:hAnsi="宋体" w:cs="仿宋_GB2312"/>
          <w:kern w:val="0"/>
          <w:sz w:val="24"/>
          <w:szCs w:val="24"/>
        </w:rPr>
      </w:pPr>
      <w:r w:rsidRPr="003706BE">
        <w:rPr>
          <w:rFonts w:ascii="宋体" w:hAnsi="宋体" w:cs="仿宋_GB2312" w:hint="eastAsia"/>
          <w:kern w:val="0"/>
          <w:sz w:val="24"/>
          <w:szCs w:val="24"/>
        </w:rPr>
        <w:t xml:space="preserve"> </w:t>
      </w:r>
      <w:r w:rsidRPr="003706BE">
        <w:rPr>
          <w:rFonts w:ascii="宋体" w:hAnsi="宋体" w:cs="仿宋_GB2312"/>
          <w:kern w:val="0"/>
          <w:sz w:val="24"/>
          <w:szCs w:val="24"/>
        </w:rPr>
        <w:t xml:space="preserve">                  </w:t>
      </w:r>
      <w:r w:rsidR="003706BE" w:rsidRPr="003706BE">
        <w:rPr>
          <w:rFonts w:ascii="宋体" w:hAnsi="宋体" w:cs="仿宋_GB2312"/>
          <w:kern w:val="0"/>
          <w:sz w:val="24"/>
          <w:szCs w:val="24"/>
        </w:rPr>
        <w:t xml:space="preserve">    </w:t>
      </w:r>
      <w:r w:rsidRPr="003706BE">
        <w:rPr>
          <w:rFonts w:ascii="宋体" w:hAnsi="宋体" w:cs="仿宋_GB2312"/>
          <w:kern w:val="0"/>
          <w:sz w:val="24"/>
          <w:szCs w:val="24"/>
        </w:rPr>
        <w:t xml:space="preserve"> </w:t>
      </w:r>
      <w:r w:rsidR="003706BE">
        <w:rPr>
          <w:rFonts w:ascii="宋体" w:hAnsi="宋体" w:cs="仿宋_GB2312"/>
          <w:kern w:val="0"/>
          <w:sz w:val="24"/>
          <w:szCs w:val="24"/>
        </w:rPr>
        <w:t xml:space="preserve">      </w:t>
      </w:r>
    </w:p>
    <w:p w:rsidR="003706BE" w:rsidRDefault="003706BE" w:rsidP="00CA5BBE">
      <w:pPr>
        <w:adjustRightInd w:val="0"/>
        <w:snapToGrid w:val="0"/>
        <w:spacing w:beforeLines="50" w:before="156" w:afterLines="50" w:after="156" w:line="540" w:lineRule="exact"/>
        <w:rPr>
          <w:rFonts w:ascii="宋体" w:hAnsi="宋体" w:cs="仿宋_GB2312"/>
          <w:kern w:val="0"/>
          <w:sz w:val="24"/>
          <w:szCs w:val="24"/>
        </w:rPr>
      </w:pPr>
    </w:p>
    <w:p w:rsidR="00D538A8" w:rsidRPr="003706BE" w:rsidRDefault="00D538A8" w:rsidP="00CA5BBE">
      <w:pPr>
        <w:adjustRightInd w:val="0"/>
        <w:snapToGrid w:val="0"/>
        <w:spacing w:beforeLines="50" w:before="156" w:afterLines="50" w:after="156" w:line="540" w:lineRule="exact"/>
        <w:ind w:firstLineChars="1900" w:firstLine="4560"/>
        <w:rPr>
          <w:rFonts w:ascii="宋体" w:hAnsi="宋体" w:cs="仿宋_GB2312"/>
          <w:sz w:val="24"/>
          <w:szCs w:val="24"/>
        </w:rPr>
      </w:pPr>
      <w:r w:rsidRPr="003706BE">
        <w:rPr>
          <w:rFonts w:ascii="宋体" w:hAnsi="宋体" w:cs="仿宋_GB2312" w:hint="eastAsia"/>
          <w:kern w:val="0"/>
          <w:sz w:val="24"/>
          <w:szCs w:val="24"/>
        </w:rPr>
        <w:t>钱江水利开发股份有限公司董事会</w:t>
      </w:r>
    </w:p>
    <w:p w:rsidR="00D538A8" w:rsidRPr="003706BE" w:rsidRDefault="00D538A8" w:rsidP="00CA5BBE">
      <w:pPr>
        <w:adjustRightInd w:val="0"/>
        <w:snapToGrid w:val="0"/>
        <w:spacing w:beforeLines="50" w:before="156" w:afterLines="50" w:after="156" w:line="540" w:lineRule="exact"/>
        <w:ind w:firstLineChars="200" w:firstLine="480"/>
        <w:rPr>
          <w:rFonts w:ascii="宋体" w:hAnsi="宋体"/>
          <w:sz w:val="24"/>
          <w:szCs w:val="24"/>
        </w:rPr>
      </w:pPr>
      <w:r w:rsidRPr="003706BE">
        <w:rPr>
          <w:rFonts w:ascii="宋体" w:hAnsi="宋体"/>
          <w:sz w:val="24"/>
          <w:szCs w:val="24"/>
        </w:rPr>
        <w:t xml:space="preserve">                            </w:t>
      </w:r>
      <w:r w:rsidR="003706BE">
        <w:rPr>
          <w:rFonts w:ascii="宋体" w:hAnsi="宋体"/>
          <w:sz w:val="24"/>
          <w:szCs w:val="24"/>
        </w:rPr>
        <w:t xml:space="preserve">             </w:t>
      </w:r>
      <w:r w:rsidRPr="003706BE">
        <w:rPr>
          <w:rFonts w:ascii="宋体" w:hAnsi="宋体"/>
          <w:sz w:val="24"/>
          <w:szCs w:val="24"/>
        </w:rPr>
        <w:t xml:space="preserve"> 2022</w:t>
      </w:r>
      <w:r w:rsidRPr="003706BE">
        <w:rPr>
          <w:rFonts w:ascii="宋体" w:hAnsi="宋体" w:hint="eastAsia"/>
          <w:sz w:val="24"/>
          <w:szCs w:val="24"/>
        </w:rPr>
        <w:t>年1月</w:t>
      </w:r>
      <w:r w:rsidR="003706BE">
        <w:rPr>
          <w:rFonts w:ascii="宋体" w:hAnsi="宋体"/>
          <w:sz w:val="24"/>
          <w:szCs w:val="24"/>
        </w:rPr>
        <w:t>5</w:t>
      </w:r>
      <w:r w:rsidRPr="003706BE">
        <w:rPr>
          <w:rFonts w:ascii="宋体" w:hAnsi="宋体" w:hint="eastAsia"/>
          <w:sz w:val="24"/>
          <w:szCs w:val="24"/>
        </w:rPr>
        <w:t>日</w:t>
      </w:r>
    </w:p>
    <w:sectPr w:rsidR="00D538A8" w:rsidRPr="003706B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719" w:rsidRDefault="00491719" w:rsidP="005F3D76">
      <w:r>
        <w:separator/>
      </w:r>
    </w:p>
  </w:endnote>
  <w:endnote w:type="continuationSeparator" w:id="0">
    <w:p w:rsidR="00491719" w:rsidRDefault="00491719" w:rsidP="005F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021966"/>
      <w:docPartObj>
        <w:docPartGallery w:val="Page Numbers (Bottom of Page)"/>
        <w:docPartUnique/>
      </w:docPartObj>
    </w:sdtPr>
    <w:sdtEndPr/>
    <w:sdtContent>
      <w:p w:rsidR="00DB138E" w:rsidRDefault="00DB138E">
        <w:pPr>
          <w:pStyle w:val="a5"/>
          <w:jc w:val="center"/>
        </w:pPr>
        <w:r>
          <w:fldChar w:fldCharType="begin"/>
        </w:r>
        <w:r>
          <w:instrText>PAGE   \* MERGEFORMAT</w:instrText>
        </w:r>
        <w:r>
          <w:fldChar w:fldCharType="separate"/>
        </w:r>
        <w:r w:rsidR="00B86049" w:rsidRPr="00B86049">
          <w:rPr>
            <w:noProof/>
            <w:lang w:val="zh-CN"/>
          </w:rPr>
          <w:t>3</w:t>
        </w:r>
        <w:r>
          <w:fldChar w:fldCharType="end"/>
        </w:r>
      </w:p>
    </w:sdtContent>
  </w:sdt>
  <w:p w:rsidR="00DB138E" w:rsidRDefault="00DB13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719" w:rsidRDefault="00491719" w:rsidP="005F3D76">
      <w:r>
        <w:separator/>
      </w:r>
    </w:p>
  </w:footnote>
  <w:footnote w:type="continuationSeparator" w:id="0">
    <w:p w:rsidR="00491719" w:rsidRDefault="00491719" w:rsidP="005F3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D9"/>
    <w:rsid w:val="00007634"/>
    <w:rsid w:val="000751D3"/>
    <w:rsid w:val="000756BE"/>
    <w:rsid w:val="00082E9C"/>
    <w:rsid w:val="0009612F"/>
    <w:rsid w:val="000E65EC"/>
    <w:rsid w:val="000F3309"/>
    <w:rsid w:val="001315AB"/>
    <w:rsid w:val="0017603F"/>
    <w:rsid w:val="001956B0"/>
    <w:rsid w:val="001B0FFF"/>
    <w:rsid w:val="001E7991"/>
    <w:rsid w:val="002916C7"/>
    <w:rsid w:val="00295E5D"/>
    <w:rsid w:val="002D7F4C"/>
    <w:rsid w:val="002F0FA8"/>
    <w:rsid w:val="00302430"/>
    <w:rsid w:val="0033010E"/>
    <w:rsid w:val="00357705"/>
    <w:rsid w:val="003663A6"/>
    <w:rsid w:val="003706BE"/>
    <w:rsid w:val="003A7396"/>
    <w:rsid w:val="003F622C"/>
    <w:rsid w:val="00433F79"/>
    <w:rsid w:val="004876CC"/>
    <w:rsid w:val="00491719"/>
    <w:rsid w:val="00527E00"/>
    <w:rsid w:val="005D55A1"/>
    <w:rsid w:val="005F3D76"/>
    <w:rsid w:val="00602D09"/>
    <w:rsid w:val="00607795"/>
    <w:rsid w:val="00662278"/>
    <w:rsid w:val="006D161D"/>
    <w:rsid w:val="00722186"/>
    <w:rsid w:val="00794696"/>
    <w:rsid w:val="007A1B5F"/>
    <w:rsid w:val="00887BC0"/>
    <w:rsid w:val="009D20E0"/>
    <w:rsid w:val="00A832CF"/>
    <w:rsid w:val="00AA0C6D"/>
    <w:rsid w:val="00B12095"/>
    <w:rsid w:val="00B21BB0"/>
    <w:rsid w:val="00B86049"/>
    <w:rsid w:val="00B925DF"/>
    <w:rsid w:val="00BA7377"/>
    <w:rsid w:val="00BC23D5"/>
    <w:rsid w:val="00C053C8"/>
    <w:rsid w:val="00C152D9"/>
    <w:rsid w:val="00C24692"/>
    <w:rsid w:val="00C766EF"/>
    <w:rsid w:val="00CA5BBE"/>
    <w:rsid w:val="00CD57E3"/>
    <w:rsid w:val="00CF6D34"/>
    <w:rsid w:val="00D1337C"/>
    <w:rsid w:val="00D474E9"/>
    <w:rsid w:val="00D538A8"/>
    <w:rsid w:val="00D901C3"/>
    <w:rsid w:val="00DB138E"/>
    <w:rsid w:val="00DC33CB"/>
    <w:rsid w:val="00EC49F2"/>
    <w:rsid w:val="00FA232B"/>
    <w:rsid w:val="00FA3C3D"/>
    <w:rsid w:val="00FE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A7B0"/>
  <w15:chartTrackingRefBased/>
  <w15:docId w15:val="{3ED3EC40-EE2B-4679-8BD9-D2D88632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D76"/>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D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F3D76"/>
    <w:rPr>
      <w:sz w:val="18"/>
      <w:szCs w:val="18"/>
    </w:rPr>
  </w:style>
  <w:style w:type="paragraph" w:styleId="a5">
    <w:name w:val="footer"/>
    <w:basedOn w:val="a"/>
    <w:link w:val="a6"/>
    <w:uiPriority w:val="99"/>
    <w:unhideWhenUsed/>
    <w:rsid w:val="005F3D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F3D76"/>
    <w:rPr>
      <w:sz w:val="18"/>
      <w:szCs w:val="18"/>
    </w:rPr>
  </w:style>
  <w:style w:type="paragraph" w:customStyle="1" w:styleId="TableParagraph">
    <w:name w:val="Table Paragraph"/>
    <w:basedOn w:val="a"/>
    <w:uiPriority w:val="1"/>
    <w:qFormat/>
    <w:rsid w:val="005F3D76"/>
    <w:pPr>
      <w:jc w:val="left"/>
    </w:pPr>
    <w:rPr>
      <w:rFonts w:ascii="等线" w:eastAsia="等线" w:hAnsi="等线"/>
      <w:kern w:val="0"/>
      <w:sz w:val="22"/>
      <w:szCs w:val="22"/>
      <w:lang w:eastAsia="en-US"/>
    </w:rPr>
  </w:style>
  <w:style w:type="paragraph" w:customStyle="1" w:styleId="p0">
    <w:name w:val="p0"/>
    <w:basedOn w:val="a"/>
    <w:rsid w:val="005F3D76"/>
    <w:pPr>
      <w:widowControl/>
    </w:pPr>
    <w:rPr>
      <w:rFonts w:ascii="Book Antiqua" w:hAnsi="Book Antiqua" w:cs="宋体"/>
      <w:kern w:val="0"/>
      <w:sz w:val="24"/>
      <w:szCs w:val="24"/>
    </w:rPr>
  </w:style>
  <w:style w:type="paragraph" w:customStyle="1" w:styleId="Default">
    <w:name w:val="Default"/>
    <w:rsid w:val="005F3D76"/>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5183D8-35B3-495C-A670-E10B435426E9}">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418</TotalTime>
  <Pages>3</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35</cp:revision>
  <dcterms:created xsi:type="dcterms:W3CDTF">2021-12-31T06:33:00Z</dcterms:created>
  <dcterms:modified xsi:type="dcterms:W3CDTF">2022-01-04T09:27:00Z</dcterms:modified>
</cp:coreProperties>
</file>