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70B" w:rsidRDefault="00F9770B" w:rsidP="00F9770B">
      <w:pPr>
        <w:pStyle w:val="Default"/>
        <w:rPr>
          <w:rFonts w:hint="eastAsia"/>
        </w:rPr>
      </w:pPr>
    </w:p>
    <w:p w:rsidR="00E638C2" w:rsidRPr="00901CEC" w:rsidRDefault="00F9770B" w:rsidP="00E638C2">
      <w:pPr>
        <w:rPr>
          <w:rFonts w:ascii="宋体" w:hAnsi="宋体"/>
          <w:szCs w:val="21"/>
        </w:rPr>
      </w:pPr>
      <w:r>
        <w:t xml:space="preserve"> </w:t>
      </w:r>
      <w:r w:rsidR="00E638C2" w:rsidRPr="00901CEC">
        <w:rPr>
          <w:rFonts w:ascii="宋体" w:hAnsi="宋体" w:hint="eastAsia"/>
          <w:szCs w:val="21"/>
        </w:rPr>
        <w:t xml:space="preserve">证券代码：600283   </w:t>
      </w:r>
      <w:r w:rsidR="00E638C2">
        <w:rPr>
          <w:rFonts w:ascii="宋体" w:hAnsi="宋体" w:hint="eastAsia"/>
          <w:szCs w:val="21"/>
        </w:rPr>
        <w:t xml:space="preserve">    </w:t>
      </w:r>
      <w:r w:rsidR="00E638C2" w:rsidRPr="00901CEC">
        <w:rPr>
          <w:rFonts w:ascii="宋体" w:hAnsi="宋体" w:hint="eastAsia"/>
          <w:szCs w:val="21"/>
        </w:rPr>
        <w:t xml:space="preserve">证券简称：钱江水利    </w:t>
      </w:r>
      <w:r w:rsidR="00E638C2">
        <w:rPr>
          <w:rFonts w:ascii="宋体" w:hAnsi="宋体" w:hint="eastAsia"/>
          <w:szCs w:val="21"/>
        </w:rPr>
        <w:t xml:space="preserve">          </w:t>
      </w:r>
      <w:r w:rsidR="00E638C2" w:rsidRPr="00901CEC">
        <w:rPr>
          <w:rFonts w:ascii="宋体" w:hAnsi="宋体" w:hint="eastAsia"/>
          <w:szCs w:val="21"/>
        </w:rPr>
        <w:t>公告编号：临</w:t>
      </w:r>
      <w:r w:rsidR="00E638C2">
        <w:rPr>
          <w:rFonts w:ascii="宋体" w:hAnsi="宋体" w:hint="eastAsia"/>
          <w:szCs w:val="21"/>
        </w:rPr>
        <w:t>20</w:t>
      </w:r>
      <w:r w:rsidR="00E638C2">
        <w:rPr>
          <w:rFonts w:ascii="宋体" w:hAnsi="宋体"/>
          <w:szCs w:val="21"/>
        </w:rPr>
        <w:t>2</w:t>
      </w:r>
      <w:r w:rsidR="00CC0D00">
        <w:rPr>
          <w:rFonts w:ascii="宋体" w:hAnsi="宋体"/>
          <w:szCs w:val="21"/>
        </w:rPr>
        <w:t>2</w:t>
      </w:r>
      <w:r w:rsidR="00E638C2" w:rsidRPr="00901CEC">
        <w:rPr>
          <w:rFonts w:ascii="宋体" w:hAnsi="宋体" w:hint="eastAsia"/>
          <w:szCs w:val="21"/>
        </w:rPr>
        <w:t>-0</w:t>
      </w:r>
      <w:r w:rsidR="00E638C2">
        <w:rPr>
          <w:rFonts w:ascii="宋体" w:hAnsi="宋体" w:hint="eastAsia"/>
          <w:szCs w:val="21"/>
        </w:rPr>
        <w:t>0</w:t>
      </w:r>
      <w:r w:rsidR="005B4C0F">
        <w:rPr>
          <w:rFonts w:ascii="宋体" w:hAnsi="宋体"/>
          <w:szCs w:val="21"/>
        </w:rPr>
        <w:t>9</w:t>
      </w:r>
    </w:p>
    <w:p w:rsidR="00E638C2" w:rsidRPr="00901CEC" w:rsidRDefault="00E638C2" w:rsidP="00E638C2">
      <w:pPr>
        <w:spacing w:line="480" w:lineRule="exact"/>
        <w:ind w:left="135" w:rightChars="-244" w:right="-512" w:hangingChars="64" w:hanging="135"/>
        <w:rPr>
          <w:rFonts w:ascii="仿宋_GB2312" w:eastAsia="仿宋_GB2312"/>
          <w:b/>
          <w:szCs w:val="21"/>
        </w:rPr>
      </w:pPr>
    </w:p>
    <w:p w:rsidR="00E638C2" w:rsidRPr="00901CEC" w:rsidRDefault="00E638C2" w:rsidP="00E638C2">
      <w:pPr>
        <w:pStyle w:val="2"/>
        <w:spacing w:line="440" w:lineRule="exact"/>
        <w:ind w:left="420" w:right="-244"/>
        <w:jc w:val="center"/>
        <w:rPr>
          <w:rFonts w:ascii="黑体" w:eastAsia="黑体"/>
          <w:b/>
          <w:color w:val="FF0000"/>
          <w:sz w:val="30"/>
          <w:szCs w:val="30"/>
        </w:rPr>
      </w:pPr>
      <w:r w:rsidRPr="00901CEC">
        <w:rPr>
          <w:rFonts w:ascii="黑体" w:eastAsia="黑体" w:hint="eastAsia"/>
          <w:b/>
          <w:color w:val="FF0000"/>
          <w:sz w:val="30"/>
          <w:szCs w:val="30"/>
        </w:rPr>
        <w:t>钱江水利开发股份有限公司</w:t>
      </w:r>
    </w:p>
    <w:p w:rsidR="00E638C2" w:rsidRPr="004E2E68" w:rsidRDefault="004E2E68" w:rsidP="004E2E68">
      <w:pPr>
        <w:pStyle w:val="2"/>
        <w:spacing w:line="440" w:lineRule="exact"/>
        <w:ind w:left="420" w:right="-244"/>
        <w:jc w:val="center"/>
        <w:rPr>
          <w:rFonts w:ascii="黑体" w:eastAsia="黑体"/>
          <w:b/>
          <w:color w:val="FF0000"/>
          <w:sz w:val="30"/>
          <w:szCs w:val="30"/>
        </w:rPr>
      </w:pPr>
      <w:r>
        <w:rPr>
          <w:rFonts w:ascii="黑体" w:eastAsia="黑体"/>
          <w:b/>
          <w:color w:val="FF0000"/>
          <w:sz w:val="30"/>
          <w:szCs w:val="30"/>
        </w:rPr>
        <w:t xml:space="preserve"> </w:t>
      </w:r>
      <w:r w:rsidR="00E638C2" w:rsidRPr="004E2E68">
        <w:rPr>
          <w:rFonts w:ascii="黑体" w:eastAsia="黑体"/>
          <w:b/>
          <w:color w:val="FF0000"/>
          <w:sz w:val="30"/>
          <w:szCs w:val="30"/>
        </w:rPr>
        <w:t>202</w:t>
      </w:r>
      <w:r w:rsidR="00CC0D00">
        <w:rPr>
          <w:rFonts w:ascii="黑体" w:eastAsia="黑体"/>
          <w:b/>
          <w:color w:val="FF0000"/>
          <w:sz w:val="30"/>
          <w:szCs w:val="30"/>
        </w:rPr>
        <w:t>1</w:t>
      </w:r>
      <w:r w:rsidR="00E638C2" w:rsidRPr="004E2E68">
        <w:rPr>
          <w:rFonts w:ascii="黑体" w:eastAsia="黑体" w:hint="eastAsia"/>
          <w:b/>
          <w:color w:val="FF0000"/>
          <w:sz w:val="30"/>
          <w:szCs w:val="30"/>
        </w:rPr>
        <w:t>年度利润分</w:t>
      </w:r>
      <w:r w:rsidR="00756443">
        <w:rPr>
          <w:rFonts w:ascii="黑体" w:eastAsia="黑体" w:hint="eastAsia"/>
          <w:b/>
          <w:color w:val="FF0000"/>
          <w:sz w:val="30"/>
          <w:szCs w:val="30"/>
        </w:rPr>
        <w:t>配方</w:t>
      </w:r>
      <w:r w:rsidR="00E638C2" w:rsidRPr="004E2E68">
        <w:rPr>
          <w:rFonts w:ascii="黑体" w:eastAsia="黑体" w:hint="eastAsia"/>
          <w:b/>
          <w:color w:val="FF0000"/>
          <w:sz w:val="30"/>
          <w:szCs w:val="30"/>
        </w:rPr>
        <w:t>案</w:t>
      </w:r>
      <w:r w:rsidR="00E210FA">
        <w:rPr>
          <w:rFonts w:ascii="黑体" w:eastAsia="黑体" w:hint="eastAsia"/>
          <w:b/>
          <w:color w:val="FF0000"/>
          <w:sz w:val="30"/>
          <w:szCs w:val="30"/>
        </w:rPr>
        <w:t>的</w:t>
      </w:r>
      <w:r w:rsidR="00E638C2" w:rsidRPr="004E2E68">
        <w:rPr>
          <w:rFonts w:ascii="黑体" w:eastAsia="黑体" w:hint="eastAsia"/>
          <w:b/>
          <w:color w:val="FF0000"/>
          <w:sz w:val="30"/>
          <w:szCs w:val="30"/>
        </w:rPr>
        <w:t>公告</w:t>
      </w:r>
    </w:p>
    <w:p w:rsidR="00E638C2" w:rsidRPr="00F00CA8" w:rsidRDefault="00E638C2" w:rsidP="00F00CA8">
      <w:pPr>
        <w:pStyle w:val="Default"/>
        <w:spacing w:line="400" w:lineRule="exact"/>
        <w:ind w:firstLineChars="200" w:firstLine="480"/>
        <w:jc w:val="both"/>
        <w:rPr>
          <w:rFonts w:hAnsi="Wingdings" w:hint="eastAsia"/>
        </w:rPr>
      </w:pPr>
      <w:r w:rsidRPr="00F00CA8">
        <w:rPr>
          <w:rFonts w:hAnsi="Wingdings" w:hint="eastAsia"/>
        </w:rPr>
        <w:t>本公司董事会及全体董事保证本公告内容不存在任何虚假记载、误导性陈述或者重大遗漏，并对其内容的真实性、准确性和完整性承担个别及连带责任。</w:t>
      </w:r>
    </w:p>
    <w:p w:rsidR="00F9770B" w:rsidRPr="00F00CA8" w:rsidRDefault="00F9770B" w:rsidP="00F00CA8">
      <w:pPr>
        <w:pStyle w:val="Default"/>
        <w:spacing w:line="400" w:lineRule="exact"/>
        <w:ind w:firstLineChars="200" w:firstLine="480"/>
        <w:jc w:val="both"/>
        <w:rPr>
          <w:rFonts w:hAnsi="Wingdings" w:hint="eastAsia"/>
        </w:rPr>
      </w:pPr>
      <w:r w:rsidRPr="00F00CA8">
        <w:rPr>
          <w:rFonts w:hAnsi="Wingdings" w:hint="eastAsia"/>
        </w:rPr>
        <w:t>重要内容提示：</w:t>
      </w:r>
    </w:p>
    <w:p w:rsidR="00F9770B" w:rsidRPr="00F00CA8" w:rsidRDefault="00F9770B" w:rsidP="00F00CA8">
      <w:pPr>
        <w:pStyle w:val="Default"/>
        <w:spacing w:line="400" w:lineRule="exact"/>
        <w:ind w:firstLineChars="200" w:firstLine="480"/>
        <w:jc w:val="both"/>
        <w:rPr>
          <w:rFonts w:hAnsi="Wingdings" w:hint="eastAsia"/>
        </w:rPr>
      </w:pPr>
      <w:r w:rsidRPr="00F00CA8">
        <w:rPr>
          <w:rFonts w:hAnsi="Wingdings"/>
        </w:rPr>
        <w:t></w:t>
      </w:r>
      <w:r w:rsidRPr="00F00CA8">
        <w:rPr>
          <w:rFonts w:hAnsi="Wingdings"/>
        </w:rPr>
        <w:t></w:t>
      </w:r>
      <w:r w:rsidRPr="00F00CA8">
        <w:rPr>
          <w:rFonts w:hAnsi="Wingdings" w:hint="eastAsia"/>
        </w:rPr>
        <w:t>每股分配比例</w:t>
      </w:r>
      <w:r w:rsidR="00E82B95" w:rsidRPr="00F00CA8">
        <w:rPr>
          <w:rFonts w:hAnsi="Wingdings" w:hint="eastAsia"/>
        </w:rPr>
        <w:t>：</w:t>
      </w:r>
      <w:r w:rsidRPr="00F00CA8">
        <w:rPr>
          <w:rFonts w:hAnsi="Wingdings" w:hint="eastAsia"/>
        </w:rPr>
        <w:t>A股每股派发现金红利</w:t>
      </w:r>
      <w:r w:rsidR="00821503" w:rsidRPr="00F00CA8">
        <w:rPr>
          <w:rFonts w:hAnsi="Wingdings" w:hint="eastAsia"/>
        </w:rPr>
        <w:t>0.</w:t>
      </w:r>
      <w:r w:rsidR="00821503" w:rsidRPr="00F00CA8">
        <w:rPr>
          <w:rFonts w:hAnsi="Wingdings"/>
        </w:rPr>
        <w:t>15</w:t>
      </w:r>
      <w:r w:rsidRPr="00F00CA8">
        <w:rPr>
          <w:rFonts w:hAnsi="Wingdings" w:hint="eastAsia"/>
        </w:rPr>
        <w:t>元</w:t>
      </w:r>
      <w:r w:rsidR="00E82B95" w:rsidRPr="00F00CA8">
        <w:rPr>
          <w:rFonts w:hAnsi="Wingdings" w:hint="eastAsia"/>
        </w:rPr>
        <w:t>（含税）</w:t>
      </w:r>
      <w:r w:rsidRPr="00F00CA8">
        <w:rPr>
          <w:rFonts w:hAnsi="Wingdings" w:hint="eastAsia"/>
        </w:rPr>
        <w:t>。</w:t>
      </w:r>
    </w:p>
    <w:p w:rsidR="00F9770B" w:rsidRPr="00F00CA8" w:rsidRDefault="00F9770B" w:rsidP="00F00CA8">
      <w:pPr>
        <w:pStyle w:val="Default"/>
        <w:spacing w:line="400" w:lineRule="exact"/>
        <w:ind w:firstLineChars="200" w:firstLine="480"/>
        <w:jc w:val="both"/>
        <w:rPr>
          <w:rFonts w:hAnsi="Wingdings" w:hint="eastAsia"/>
        </w:rPr>
      </w:pPr>
      <w:r w:rsidRPr="00F00CA8">
        <w:rPr>
          <w:rFonts w:hAnsi="Wingdings"/>
        </w:rPr>
        <w:t></w:t>
      </w:r>
      <w:r w:rsidRPr="00F00CA8">
        <w:rPr>
          <w:rFonts w:hAnsi="Wingdings"/>
        </w:rPr>
        <w:t></w:t>
      </w:r>
      <w:r w:rsidRPr="00F00CA8">
        <w:rPr>
          <w:rFonts w:hAnsi="Wingdings" w:hint="eastAsia"/>
        </w:rPr>
        <w:t>本次利润分配以实施权益分派股权登记日登记的总股本为基数，具体日期将在权益分派实施公告中明确。</w:t>
      </w:r>
    </w:p>
    <w:p w:rsidR="00F9770B" w:rsidRPr="00424F12" w:rsidRDefault="00F9770B" w:rsidP="00B20EED">
      <w:pPr>
        <w:pStyle w:val="Default"/>
        <w:spacing w:line="400" w:lineRule="exact"/>
        <w:ind w:firstLineChars="200" w:firstLine="480"/>
        <w:jc w:val="both"/>
        <w:rPr>
          <w:rFonts w:hAnsi="Wingdings" w:hint="eastAsia"/>
        </w:rPr>
      </w:pPr>
      <w:r w:rsidRPr="00F00CA8">
        <w:rPr>
          <w:rFonts w:hAnsi="Wingdings"/>
        </w:rPr>
        <w:t></w:t>
      </w:r>
      <w:r w:rsidRPr="00F00CA8">
        <w:rPr>
          <w:rFonts w:hAnsi="Wingdings"/>
        </w:rPr>
        <w:t></w:t>
      </w:r>
      <w:r w:rsidR="00424F12" w:rsidRPr="00424F12">
        <w:rPr>
          <w:rFonts w:hAnsi="Wingdings" w:hint="eastAsia"/>
        </w:rPr>
        <w:t>在实施权益分派的股权登记日前公司总股本发生变动的，</w:t>
      </w:r>
      <w:r w:rsidR="0003696D" w:rsidRPr="00424F12">
        <w:rPr>
          <w:rFonts w:hAnsi="Wingdings" w:hint="eastAsia"/>
        </w:rPr>
        <w:t>拟维持分配总额不变，相应调整每股分配比例，</w:t>
      </w:r>
      <w:r w:rsidR="00424F12" w:rsidRPr="00424F12">
        <w:rPr>
          <w:rFonts w:hAnsi="Wingdings" w:hint="eastAsia"/>
        </w:rPr>
        <w:t>并将另行公告具体调整情况。</w:t>
      </w:r>
    </w:p>
    <w:p w:rsidR="00F9770B" w:rsidRPr="00B20EED" w:rsidRDefault="00F9770B" w:rsidP="00F00CA8">
      <w:pPr>
        <w:pStyle w:val="Default"/>
        <w:spacing w:line="400" w:lineRule="exact"/>
        <w:ind w:firstLineChars="200" w:firstLine="482"/>
        <w:rPr>
          <w:rFonts w:hAnsi="Wingdings" w:hint="eastAsia"/>
          <w:b/>
        </w:rPr>
      </w:pPr>
      <w:r w:rsidRPr="00B20EED">
        <w:rPr>
          <w:rFonts w:hAnsi="Wingdings" w:hint="eastAsia"/>
          <w:b/>
        </w:rPr>
        <w:t>一、利润分配方案内容</w:t>
      </w:r>
    </w:p>
    <w:p w:rsidR="00797877" w:rsidRPr="004E2E68" w:rsidRDefault="00797877" w:rsidP="00F00CA8">
      <w:pPr>
        <w:pStyle w:val="Default"/>
        <w:spacing w:line="400" w:lineRule="exact"/>
        <w:ind w:firstLineChars="200" w:firstLine="480"/>
        <w:rPr>
          <w:rFonts w:hAnsi="Wingdings" w:hint="eastAsia"/>
        </w:rPr>
      </w:pPr>
      <w:r w:rsidRPr="00797877">
        <w:rPr>
          <w:rFonts w:hAnsi="Wingdings" w:hint="eastAsia"/>
        </w:rPr>
        <w:t>经天健会计师事务所天健审</w:t>
      </w:r>
      <w:r w:rsidR="008638C3">
        <w:rPr>
          <w:rFonts w:hAnsi="Wingdings" w:hint="eastAsia"/>
        </w:rPr>
        <w:t>[202</w:t>
      </w:r>
      <w:r w:rsidR="00CC0D00">
        <w:rPr>
          <w:rFonts w:hAnsi="Wingdings"/>
        </w:rPr>
        <w:t>2</w:t>
      </w:r>
      <w:r w:rsidR="008638C3">
        <w:rPr>
          <w:rFonts w:hAnsi="Wingdings" w:hint="eastAsia"/>
        </w:rPr>
        <w:t>]</w:t>
      </w:r>
      <w:r w:rsidR="00407110" w:rsidRPr="00407110">
        <w:rPr>
          <w:rFonts w:hAnsi="Wingdings"/>
        </w:rPr>
        <w:t>3078</w:t>
      </w:r>
      <w:r w:rsidRPr="00797877">
        <w:rPr>
          <w:rFonts w:hAnsi="Wingdings" w:hint="eastAsia"/>
        </w:rPr>
        <w:t>号审计报告确认：</w:t>
      </w:r>
      <w:r w:rsidRPr="004E2E68">
        <w:rPr>
          <w:rFonts w:hAnsi="Wingdings" w:hint="eastAsia"/>
        </w:rPr>
        <w:t>截至202</w:t>
      </w:r>
      <w:r w:rsidR="00CC0D00">
        <w:rPr>
          <w:rFonts w:hAnsi="Wingdings"/>
        </w:rPr>
        <w:t>1</w:t>
      </w:r>
      <w:r w:rsidRPr="004E2E68">
        <w:rPr>
          <w:rFonts w:hAnsi="Wingdings" w:hint="eastAsia"/>
        </w:rPr>
        <w:t>年12月31日，</w:t>
      </w:r>
      <w:r w:rsidRPr="00797877">
        <w:rPr>
          <w:rFonts w:hAnsi="Wingdings" w:hint="eastAsia"/>
        </w:rPr>
        <w:t>公司20</w:t>
      </w:r>
      <w:r w:rsidRPr="00797877">
        <w:rPr>
          <w:rFonts w:hAnsi="Wingdings"/>
        </w:rPr>
        <w:t>2</w:t>
      </w:r>
      <w:r w:rsidR="00CC0D00">
        <w:rPr>
          <w:rFonts w:hAnsi="Wingdings"/>
        </w:rPr>
        <w:t>1</w:t>
      </w:r>
      <w:r>
        <w:rPr>
          <w:rFonts w:hAnsi="Wingdings" w:hint="eastAsia"/>
        </w:rPr>
        <w:t>年度实现归属于上市公司股东的合并报表净利润</w:t>
      </w:r>
      <w:r w:rsidR="00F00CA8">
        <w:rPr>
          <w:rFonts w:hAnsi="Wingdings" w:hint="eastAsia"/>
        </w:rPr>
        <w:t>为</w:t>
      </w:r>
      <w:r w:rsidR="00CC0D00" w:rsidRPr="00CC0D00">
        <w:rPr>
          <w:rFonts w:hAnsi="Wingdings" w:hint="eastAsia"/>
        </w:rPr>
        <w:t>150,757,637.46</w:t>
      </w:r>
      <w:r w:rsidRPr="00797877">
        <w:rPr>
          <w:rFonts w:hAnsi="Wingdings" w:hint="eastAsia"/>
        </w:rPr>
        <w:t>元，本年度实际可供全体股东分配的利润为</w:t>
      </w:r>
      <w:r w:rsidR="00CC0D00" w:rsidRPr="00CC0D00">
        <w:rPr>
          <w:rFonts w:hAnsi="Wingdings" w:hint="eastAsia"/>
        </w:rPr>
        <w:t>128,105,106.07</w:t>
      </w:r>
      <w:r w:rsidRPr="00797877">
        <w:rPr>
          <w:rFonts w:hAnsi="Wingdings"/>
        </w:rPr>
        <w:t>元</w:t>
      </w:r>
      <w:r w:rsidRPr="00797877">
        <w:rPr>
          <w:rFonts w:hAnsi="Wingdings" w:hint="eastAsia"/>
        </w:rPr>
        <w:t>。</w:t>
      </w:r>
      <w:r w:rsidRPr="004E2E68">
        <w:rPr>
          <w:rFonts w:hAnsi="Wingdings" w:hint="eastAsia"/>
        </w:rPr>
        <w:t>经董事会决议，</w:t>
      </w:r>
      <w:r w:rsidR="00B357D2" w:rsidRPr="00B357D2">
        <w:rPr>
          <w:rFonts w:hAnsi="Wingdings" w:hint="eastAsia"/>
        </w:rPr>
        <w:t>公司</w:t>
      </w:r>
      <w:r w:rsidR="00EC5CFC">
        <w:rPr>
          <w:rFonts w:hAnsi="Wingdings"/>
        </w:rPr>
        <w:t>202</w:t>
      </w:r>
      <w:r w:rsidR="00CC0D00">
        <w:rPr>
          <w:rFonts w:hAnsi="Wingdings"/>
        </w:rPr>
        <w:t>1</w:t>
      </w:r>
      <w:r w:rsidR="00B357D2" w:rsidRPr="00B357D2">
        <w:rPr>
          <w:rFonts w:hAnsi="Wingdings" w:hint="eastAsia"/>
        </w:rPr>
        <w:t>年度</w:t>
      </w:r>
      <w:r w:rsidRPr="004E2E68">
        <w:rPr>
          <w:rFonts w:hAnsi="Wingdings" w:hint="eastAsia"/>
        </w:rPr>
        <w:t>利润分配方案如下：</w:t>
      </w:r>
    </w:p>
    <w:p w:rsidR="00797877" w:rsidRDefault="00797877" w:rsidP="00B357D2">
      <w:pPr>
        <w:pStyle w:val="Default"/>
        <w:spacing w:line="400" w:lineRule="exact"/>
        <w:ind w:firstLineChars="200" w:firstLine="480"/>
        <w:rPr>
          <w:rFonts w:hAnsi="Wingdings" w:hint="eastAsia"/>
        </w:rPr>
      </w:pPr>
      <w:r w:rsidRPr="00797877">
        <w:rPr>
          <w:rFonts w:hAnsi="Wingdings"/>
        </w:rPr>
        <w:t>公司拟以总股本 352,995,758 股为基数，向全体股东每10股派发</w:t>
      </w:r>
      <w:r w:rsidRPr="00797877">
        <w:rPr>
          <w:rFonts w:hAnsi="Wingdings" w:hint="eastAsia"/>
        </w:rPr>
        <w:t>1.5</w:t>
      </w:r>
      <w:r w:rsidRPr="00797877">
        <w:rPr>
          <w:rFonts w:hAnsi="Wingdings"/>
        </w:rPr>
        <w:t>元(含税)现金红利，派发现金总额为</w:t>
      </w:r>
      <w:r w:rsidRPr="00797877">
        <w:rPr>
          <w:rFonts w:hAnsi="Wingdings" w:hint="eastAsia"/>
        </w:rPr>
        <w:t>52,949,363.7</w:t>
      </w:r>
      <w:r>
        <w:rPr>
          <w:rFonts w:hAnsi="Wingdings"/>
        </w:rPr>
        <w:t>0</w:t>
      </w:r>
      <w:r w:rsidRPr="00797877">
        <w:rPr>
          <w:rFonts w:hAnsi="Wingdings"/>
        </w:rPr>
        <w:t>元，</w:t>
      </w:r>
      <w:r w:rsidRPr="004E2E68">
        <w:rPr>
          <w:rFonts w:hAnsi="Wingdings" w:hint="eastAsia"/>
        </w:rPr>
        <w:t>本年度公司现金分红数额占合并报表中归属于上市公司普通股股东的净利润的比例为</w:t>
      </w:r>
      <w:r w:rsidR="00085F09">
        <w:rPr>
          <w:rFonts w:hAnsi="Wingdings"/>
        </w:rPr>
        <w:t>35.12</w:t>
      </w:r>
      <w:r w:rsidRPr="004E2E68">
        <w:rPr>
          <w:rFonts w:hAnsi="Wingdings" w:hint="eastAsia"/>
        </w:rPr>
        <w:t>%。</w:t>
      </w:r>
    </w:p>
    <w:p w:rsidR="00B357D2" w:rsidRPr="00B357D2" w:rsidRDefault="00B357D2" w:rsidP="00B357D2">
      <w:pPr>
        <w:pStyle w:val="Default"/>
        <w:spacing w:line="400" w:lineRule="exact"/>
        <w:ind w:firstLineChars="200" w:firstLine="480"/>
        <w:rPr>
          <w:rFonts w:hAnsi="Wingdings" w:hint="eastAsia"/>
        </w:rPr>
      </w:pPr>
      <w:r w:rsidRPr="00B357D2">
        <w:rPr>
          <w:rFonts w:hAnsi="Wingdings" w:hint="eastAsia"/>
        </w:rPr>
        <w:t>如在本公告披露之日起至实施权益分派股权登记日期间，公司总股本发生变动的，</w:t>
      </w:r>
      <w:r w:rsidR="00691463">
        <w:rPr>
          <w:rFonts w:hAnsi="Wingdings" w:hint="eastAsia"/>
        </w:rPr>
        <w:t>公司</w:t>
      </w:r>
      <w:r w:rsidR="00691463" w:rsidRPr="00424F12">
        <w:rPr>
          <w:rFonts w:hAnsi="Wingdings" w:hint="eastAsia"/>
        </w:rPr>
        <w:t>拟维持</w:t>
      </w:r>
      <w:r w:rsidR="00CB12F1" w:rsidRPr="00B357D2">
        <w:rPr>
          <w:rFonts w:hAnsi="Wingdings" w:hint="eastAsia"/>
        </w:rPr>
        <w:t>分配总额不变，相应调整每股分配比例</w:t>
      </w:r>
      <w:r w:rsidRPr="00B357D2">
        <w:rPr>
          <w:rFonts w:hAnsi="Wingdings" w:hint="eastAsia"/>
        </w:rPr>
        <w:t>。如后续总股本发生变化，将另行公告具体调整情况。</w:t>
      </w:r>
    </w:p>
    <w:p w:rsidR="00C70960" w:rsidRPr="004E2E68" w:rsidRDefault="00797877" w:rsidP="00BA720F">
      <w:pPr>
        <w:pStyle w:val="Default"/>
        <w:spacing w:line="400" w:lineRule="exact"/>
        <w:ind w:firstLineChars="200" w:firstLine="480"/>
        <w:rPr>
          <w:rFonts w:hAnsi="Wingdings" w:hint="eastAsia"/>
        </w:rPr>
      </w:pPr>
      <w:r w:rsidRPr="00797877">
        <w:rPr>
          <w:rFonts w:hAnsi="Wingdings" w:hint="eastAsia"/>
        </w:rPr>
        <w:t>以上利润分配方案须</w:t>
      </w:r>
      <w:r w:rsidR="00DB477C">
        <w:rPr>
          <w:rFonts w:hAnsi="Wingdings" w:hint="eastAsia"/>
        </w:rPr>
        <w:t>提</w:t>
      </w:r>
      <w:bookmarkStart w:id="0" w:name="_GoBack"/>
      <w:bookmarkEnd w:id="0"/>
      <w:r w:rsidRPr="00797877">
        <w:rPr>
          <w:rFonts w:hAnsi="Wingdings" w:hint="eastAsia"/>
        </w:rPr>
        <w:t>交20</w:t>
      </w:r>
      <w:r w:rsidRPr="00797877">
        <w:rPr>
          <w:rFonts w:hAnsi="Wingdings"/>
        </w:rPr>
        <w:t>2</w:t>
      </w:r>
      <w:r w:rsidR="00CC0D00">
        <w:rPr>
          <w:rFonts w:hAnsi="Wingdings"/>
        </w:rPr>
        <w:t>1</w:t>
      </w:r>
      <w:r w:rsidRPr="00797877">
        <w:rPr>
          <w:rFonts w:hAnsi="Wingdings" w:hint="eastAsia"/>
        </w:rPr>
        <w:t>年度股东大会审议。</w:t>
      </w:r>
    </w:p>
    <w:p w:rsidR="00F9770B" w:rsidRPr="00B20EED" w:rsidRDefault="00F9770B" w:rsidP="00797877">
      <w:pPr>
        <w:pStyle w:val="Default"/>
        <w:spacing w:line="400" w:lineRule="exact"/>
        <w:ind w:firstLineChars="200" w:firstLine="482"/>
        <w:rPr>
          <w:rFonts w:hAnsi="Wingdings" w:hint="eastAsia"/>
          <w:b/>
        </w:rPr>
      </w:pPr>
      <w:r w:rsidRPr="00B20EED">
        <w:rPr>
          <w:rFonts w:hAnsi="Wingdings" w:hint="eastAsia"/>
          <w:b/>
        </w:rPr>
        <w:t xml:space="preserve">二、公司履行的决策程序 </w:t>
      </w:r>
    </w:p>
    <w:p w:rsidR="00F9770B" w:rsidRPr="004E2E68" w:rsidRDefault="00F9770B" w:rsidP="00BA720F">
      <w:pPr>
        <w:pStyle w:val="Default"/>
        <w:spacing w:line="400" w:lineRule="exact"/>
        <w:ind w:firstLineChars="200" w:firstLine="480"/>
        <w:rPr>
          <w:rFonts w:hAnsi="Wingdings" w:hint="eastAsia"/>
        </w:rPr>
      </w:pPr>
      <w:r w:rsidRPr="004E2E68">
        <w:rPr>
          <w:rFonts w:hAnsi="Wingdings" w:hint="eastAsia"/>
        </w:rPr>
        <w:t xml:space="preserve">（一）董事会会议的召开、审议和表决情况 </w:t>
      </w:r>
    </w:p>
    <w:p w:rsidR="00C70960" w:rsidRPr="004E2E68" w:rsidRDefault="00E638C2" w:rsidP="00BA720F">
      <w:pPr>
        <w:pStyle w:val="Default"/>
        <w:spacing w:line="400" w:lineRule="exact"/>
        <w:ind w:firstLineChars="250" w:firstLine="600"/>
        <w:rPr>
          <w:rFonts w:hAnsi="Wingdings" w:hint="eastAsia"/>
        </w:rPr>
      </w:pPr>
      <w:r w:rsidRPr="004E2E68">
        <w:rPr>
          <w:rFonts w:hAnsi="Wingdings" w:hint="eastAsia"/>
        </w:rPr>
        <w:t>公司</w:t>
      </w:r>
      <w:r w:rsidR="00F00CA8">
        <w:rPr>
          <w:rFonts w:hAnsi="Wingdings" w:hint="eastAsia"/>
        </w:rPr>
        <w:t>2</w:t>
      </w:r>
      <w:r w:rsidR="00F00CA8">
        <w:rPr>
          <w:rFonts w:hAnsi="Wingdings"/>
        </w:rPr>
        <w:t>02</w:t>
      </w:r>
      <w:r w:rsidR="00CC0D00">
        <w:rPr>
          <w:rFonts w:hAnsi="Wingdings"/>
        </w:rPr>
        <w:t>2</w:t>
      </w:r>
      <w:r w:rsidR="00F00CA8">
        <w:rPr>
          <w:rFonts w:hAnsi="Wingdings" w:hint="eastAsia"/>
        </w:rPr>
        <w:t>年4月</w:t>
      </w:r>
      <w:r w:rsidR="00CC0D00">
        <w:rPr>
          <w:rFonts w:hAnsi="Wingdings" w:hint="eastAsia"/>
        </w:rPr>
        <w:t>1</w:t>
      </w:r>
      <w:r w:rsidR="00F00CA8">
        <w:rPr>
          <w:rFonts w:hAnsi="Wingdings" w:hint="eastAsia"/>
        </w:rPr>
        <w:t>8日召开的</w:t>
      </w:r>
      <w:r w:rsidRPr="004E2E68">
        <w:rPr>
          <w:rFonts w:hAnsi="Wingdings" w:hint="eastAsia"/>
        </w:rPr>
        <w:t>七届十</w:t>
      </w:r>
      <w:r w:rsidR="00CC0D00">
        <w:rPr>
          <w:rFonts w:hAnsi="Wingdings" w:hint="eastAsia"/>
        </w:rPr>
        <w:t>五</w:t>
      </w:r>
      <w:r w:rsidR="00756443">
        <w:rPr>
          <w:rFonts w:hAnsi="Wingdings" w:hint="eastAsia"/>
        </w:rPr>
        <w:t>次董事会一致审议</w:t>
      </w:r>
      <w:r w:rsidR="00F00CA8">
        <w:rPr>
          <w:rFonts w:hAnsi="Wingdings" w:hint="eastAsia"/>
        </w:rPr>
        <w:t>通过</w:t>
      </w:r>
      <w:r w:rsidR="00F00CA8" w:rsidRPr="00BA720F">
        <w:rPr>
          <w:rFonts w:hAnsi="Wingdings" w:hint="eastAsia"/>
        </w:rPr>
        <w:t>《公司20</w:t>
      </w:r>
      <w:r w:rsidR="00F00CA8" w:rsidRPr="00BA720F">
        <w:rPr>
          <w:rFonts w:hAnsi="Wingdings"/>
        </w:rPr>
        <w:t>2</w:t>
      </w:r>
      <w:r w:rsidR="00CC0D00">
        <w:rPr>
          <w:rFonts w:hAnsi="Wingdings"/>
        </w:rPr>
        <w:t>1</w:t>
      </w:r>
      <w:r w:rsidR="00F00CA8" w:rsidRPr="00BA720F">
        <w:rPr>
          <w:rFonts w:hAnsi="Wingdings" w:hint="eastAsia"/>
        </w:rPr>
        <w:t>年度利润分配预案》的议案</w:t>
      </w:r>
      <w:r w:rsidR="00BA720F" w:rsidRPr="00BA720F">
        <w:rPr>
          <w:rFonts w:hAnsi="Wingdings" w:hint="eastAsia"/>
        </w:rPr>
        <w:t>，并同意提交</w:t>
      </w:r>
      <w:r w:rsidR="00BA720F">
        <w:rPr>
          <w:rFonts w:hAnsi="Wingdings" w:hint="eastAsia"/>
        </w:rPr>
        <w:t>2</w:t>
      </w:r>
      <w:r w:rsidR="00BA720F">
        <w:rPr>
          <w:rFonts w:hAnsi="Wingdings"/>
        </w:rPr>
        <w:t>02</w:t>
      </w:r>
      <w:r w:rsidR="00CC0D00">
        <w:rPr>
          <w:rFonts w:hAnsi="Wingdings"/>
        </w:rPr>
        <w:t>1</w:t>
      </w:r>
      <w:r w:rsidR="00BA720F">
        <w:rPr>
          <w:rFonts w:hAnsi="Wingdings" w:hint="eastAsia"/>
        </w:rPr>
        <w:t>年度</w:t>
      </w:r>
      <w:r w:rsidR="00BA720F" w:rsidRPr="00BA720F">
        <w:rPr>
          <w:rFonts w:hAnsi="Wingdings" w:hint="eastAsia"/>
        </w:rPr>
        <w:t>股东大会审议。</w:t>
      </w:r>
    </w:p>
    <w:p w:rsidR="00F9770B" w:rsidRPr="004E2E68" w:rsidRDefault="00F9770B" w:rsidP="00797877">
      <w:pPr>
        <w:pStyle w:val="Default"/>
        <w:spacing w:line="400" w:lineRule="exact"/>
        <w:ind w:firstLineChars="200" w:firstLine="480"/>
        <w:rPr>
          <w:rFonts w:hAnsi="Wingdings" w:hint="eastAsia"/>
        </w:rPr>
      </w:pPr>
      <w:r w:rsidRPr="004E2E68">
        <w:rPr>
          <w:rFonts w:hAnsi="Wingdings" w:hint="eastAsia"/>
        </w:rPr>
        <w:t xml:space="preserve">（二）独立董事意见 </w:t>
      </w:r>
    </w:p>
    <w:p w:rsidR="00F9770B" w:rsidRPr="004E2E68" w:rsidRDefault="00F9770B" w:rsidP="00797877">
      <w:pPr>
        <w:pStyle w:val="Default"/>
        <w:spacing w:line="400" w:lineRule="exact"/>
        <w:ind w:firstLineChars="250" w:firstLine="600"/>
        <w:rPr>
          <w:rFonts w:hAnsi="Wingdings" w:hint="eastAsia"/>
        </w:rPr>
      </w:pPr>
      <w:r w:rsidRPr="004E2E68">
        <w:rPr>
          <w:rFonts w:hAnsi="Wingdings" w:hint="eastAsia"/>
        </w:rPr>
        <w:t>1、公司202</w:t>
      </w:r>
      <w:r w:rsidR="00CC0D00">
        <w:rPr>
          <w:rFonts w:hAnsi="Wingdings"/>
        </w:rPr>
        <w:t>1</w:t>
      </w:r>
      <w:r w:rsidR="00756443">
        <w:rPr>
          <w:rFonts w:hAnsi="Wingdings" w:hint="eastAsia"/>
        </w:rPr>
        <w:t>年度利润分配方</w:t>
      </w:r>
      <w:r w:rsidR="00797877">
        <w:rPr>
          <w:rFonts w:hAnsi="Wingdings" w:hint="eastAsia"/>
        </w:rPr>
        <w:t>案的决策程序、利润分配的形式和比例符合有关法律法规、</w:t>
      </w:r>
      <w:r w:rsidRPr="004E2E68">
        <w:rPr>
          <w:rFonts w:hAnsi="Wingdings" w:hint="eastAsia"/>
        </w:rPr>
        <w:t xml:space="preserve">《公司章程》的规定； </w:t>
      </w:r>
    </w:p>
    <w:p w:rsidR="00F9770B" w:rsidRPr="004E2E68" w:rsidRDefault="00F9770B" w:rsidP="00797877">
      <w:pPr>
        <w:pStyle w:val="Default"/>
        <w:spacing w:line="400" w:lineRule="exact"/>
        <w:ind w:firstLineChars="250" w:firstLine="600"/>
        <w:rPr>
          <w:rFonts w:hAnsi="Wingdings" w:hint="eastAsia"/>
        </w:rPr>
      </w:pPr>
      <w:r w:rsidRPr="004E2E68">
        <w:rPr>
          <w:rFonts w:hAnsi="Wingdings" w:hint="eastAsia"/>
        </w:rPr>
        <w:t>2、公司202</w:t>
      </w:r>
      <w:r w:rsidR="00CC0D00">
        <w:rPr>
          <w:rFonts w:hAnsi="Wingdings"/>
        </w:rPr>
        <w:t>1</w:t>
      </w:r>
      <w:r w:rsidR="00756443">
        <w:rPr>
          <w:rFonts w:hAnsi="Wingdings" w:hint="eastAsia"/>
        </w:rPr>
        <w:t>年度利润分配方</w:t>
      </w:r>
      <w:r w:rsidRPr="004E2E68">
        <w:rPr>
          <w:rFonts w:hAnsi="Wingdings" w:hint="eastAsia"/>
        </w:rPr>
        <w:t>案充分考虑了公司盈利情况、现金流状态及资金需求等各种因素，不存在损害中小股东利益的情形，符合公司经营现状，</w:t>
      </w:r>
      <w:r w:rsidRPr="004E2E68">
        <w:rPr>
          <w:rFonts w:hAnsi="Wingdings" w:hint="eastAsia"/>
        </w:rPr>
        <w:lastRenderedPageBreak/>
        <w:t xml:space="preserve">有利于公司的持续、稳定、健康发展； </w:t>
      </w:r>
    </w:p>
    <w:p w:rsidR="00C70960" w:rsidRPr="004E2E68" w:rsidRDefault="00F9770B" w:rsidP="00797877">
      <w:pPr>
        <w:pStyle w:val="Default"/>
        <w:spacing w:line="400" w:lineRule="exact"/>
        <w:ind w:firstLineChars="250" w:firstLine="600"/>
        <w:rPr>
          <w:rFonts w:hAnsi="Wingdings" w:hint="eastAsia"/>
        </w:rPr>
      </w:pPr>
      <w:r w:rsidRPr="004E2E68">
        <w:rPr>
          <w:rFonts w:hAnsi="Wingdings" w:hint="eastAsia"/>
        </w:rPr>
        <w:t>3、同意</w:t>
      </w:r>
      <w:r w:rsidR="00F00CA8">
        <w:rPr>
          <w:rFonts w:hAnsi="Wingdings" w:hint="eastAsia"/>
        </w:rPr>
        <w:t>公司</w:t>
      </w:r>
      <w:r w:rsidRPr="004E2E68">
        <w:rPr>
          <w:rFonts w:hAnsi="Wingdings" w:hint="eastAsia"/>
        </w:rPr>
        <w:t>202</w:t>
      </w:r>
      <w:r w:rsidR="00CC0D00">
        <w:rPr>
          <w:rFonts w:hAnsi="Wingdings"/>
        </w:rPr>
        <w:t>1</w:t>
      </w:r>
      <w:r w:rsidR="00756443">
        <w:rPr>
          <w:rFonts w:hAnsi="Wingdings" w:hint="eastAsia"/>
        </w:rPr>
        <w:t>年度利润分配方</w:t>
      </w:r>
      <w:r w:rsidRPr="004E2E68">
        <w:rPr>
          <w:rFonts w:hAnsi="Wingdings" w:hint="eastAsia"/>
        </w:rPr>
        <w:t>案，并同意将其提交</w:t>
      </w:r>
      <w:r w:rsidR="00821503">
        <w:rPr>
          <w:rFonts w:hAnsi="Wingdings" w:hint="eastAsia"/>
        </w:rPr>
        <w:t>2</w:t>
      </w:r>
      <w:r w:rsidR="00821503">
        <w:rPr>
          <w:rFonts w:hAnsi="Wingdings"/>
        </w:rPr>
        <w:t>02</w:t>
      </w:r>
      <w:r w:rsidR="00CC0D00">
        <w:rPr>
          <w:rFonts w:hAnsi="Wingdings"/>
        </w:rPr>
        <w:t>1</w:t>
      </w:r>
      <w:r w:rsidR="00821503">
        <w:rPr>
          <w:rFonts w:hAnsi="Wingdings" w:hint="eastAsia"/>
        </w:rPr>
        <w:t>年度</w:t>
      </w:r>
      <w:r w:rsidRPr="004E2E68">
        <w:rPr>
          <w:rFonts w:hAnsi="Wingdings" w:hint="eastAsia"/>
        </w:rPr>
        <w:t>股东大会审议。</w:t>
      </w:r>
    </w:p>
    <w:p w:rsidR="00F9770B" w:rsidRPr="004E2E68" w:rsidRDefault="00F9770B" w:rsidP="00797877">
      <w:pPr>
        <w:pStyle w:val="Default"/>
        <w:spacing w:line="400" w:lineRule="exact"/>
        <w:ind w:firstLineChars="200" w:firstLine="480"/>
        <w:rPr>
          <w:rFonts w:hAnsi="Wingdings" w:hint="eastAsia"/>
        </w:rPr>
      </w:pPr>
      <w:r w:rsidRPr="004E2E68">
        <w:rPr>
          <w:rFonts w:hAnsi="Wingdings" w:hint="eastAsia"/>
        </w:rPr>
        <w:t xml:space="preserve">（三）监事会意见 </w:t>
      </w:r>
    </w:p>
    <w:p w:rsidR="00C70960" w:rsidRPr="004E2E68" w:rsidRDefault="00BA720F" w:rsidP="00BA720F">
      <w:pPr>
        <w:pStyle w:val="Default"/>
        <w:spacing w:line="400" w:lineRule="exact"/>
        <w:ind w:firstLineChars="200" w:firstLine="480"/>
        <w:rPr>
          <w:rFonts w:hAnsi="Wingdings" w:hint="eastAsia"/>
        </w:rPr>
      </w:pPr>
      <w:r w:rsidRPr="00BA720F">
        <w:rPr>
          <w:rFonts w:hAnsi="Wingdings" w:hint="eastAsia"/>
        </w:rPr>
        <w:t>公司于</w:t>
      </w:r>
      <w:r>
        <w:rPr>
          <w:rFonts w:hAnsi="Wingdings"/>
        </w:rPr>
        <w:t>202</w:t>
      </w:r>
      <w:r w:rsidR="00CC0D00">
        <w:rPr>
          <w:rFonts w:hAnsi="Wingdings"/>
        </w:rPr>
        <w:t>2</w:t>
      </w:r>
      <w:r w:rsidRPr="00BA720F">
        <w:rPr>
          <w:rFonts w:hAnsi="Wingdings" w:hint="eastAsia"/>
        </w:rPr>
        <w:t>年</w:t>
      </w:r>
      <w:r>
        <w:rPr>
          <w:rFonts w:hAnsi="Wingdings"/>
        </w:rPr>
        <w:t>4</w:t>
      </w:r>
      <w:r w:rsidRPr="00BA720F">
        <w:rPr>
          <w:rFonts w:hAnsi="Wingdings" w:hint="eastAsia"/>
        </w:rPr>
        <w:t>月</w:t>
      </w:r>
      <w:r w:rsidR="00CC0D00">
        <w:rPr>
          <w:rFonts w:hAnsi="Wingdings" w:hint="eastAsia"/>
        </w:rPr>
        <w:t>1</w:t>
      </w:r>
      <w:r w:rsidRPr="00BA720F">
        <w:rPr>
          <w:rFonts w:hAnsi="Wingdings"/>
        </w:rPr>
        <w:t>8</w:t>
      </w:r>
      <w:r>
        <w:rPr>
          <w:rFonts w:hAnsi="Wingdings" w:hint="eastAsia"/>
        </w:rPr>
        <w:t>日召开</w:t>
      </w:r>
      <w:r w:rsidRPr="00BA720F">
        <w:rPr>
          <w:rFonts w:hAnsi="Wingdings" w:hint="eastAsia"/>
        </w:rPr>
        <w:t>七届十</w:t>
      </w:r>
      <w:r w:rsidR="00CC0D00">
        <w:rPr>
          <w:rFonts w:hAnsi="Wingdings" w:hint="eastAsia"/>
        </w:rPr>
        <w:t>五</w:t>
      </w:r>
      <w:r w:rsidRPr="00BA720F">
        <w:rPr>
          <w:rFonts w:hAnsi="Wingdings" w:hint="eastAsia"/>
        </w:rPr>
        <w:t>次监事会，审议通过了《公司</w:t>
      </w:r>
      <w:r w:rsidR="00041582">
        <w:rPr>
          <w:rFonts w:hAnsi="Wingdings"/>
        </w:rPr>
        <w:t>202</w:t>
      </w:r>
      <w:r w:rsidR="00CC0D00">
        <w:rPr>
          <w:rFonts w:hAnsi="Wingdings"/>
        </w:rPr>
        <w:t>1</w:t>
      </w:r>
      <w:r w:rsidRPr="00BA720F">
        <w:rPr>
          <w:rFonts w:hAnsi="Wingdings" w:hint="eastAsia"/>
        </w:rPr>
        <w:t>年度利润分配预案》的议案，并同意提交2</w:t>
      </w:r>
      <w:r w:rsidRPr="00BA720F">
        <w:rPr>
          <w:rFonts w:hAnsi="Wingdings"/>
        </w:rPr>
        <w:t>02</w:t>
      </w:r>
      <w:r w:rsidR="00CC0D00">
        <w:rPr>
          <w:rFonts w:hAnsi="Wingdings"/>
        </w:rPr>
        <w:t>1</w:t>
      </w:r>
      <w:r w:rsidRPr="00BA720F">
        <w:rPr>
          <w:rFonts w:hAnsi="Wingdings" w:hint="eastAsia"/>
        </w:rPr>
        <w:t>年度股东大会审议。</w:t>
      </w:r>
    </w:p>
    <w:p w:rsidR="00F9770B" w:rsidRPr="00B20EED" w:rsidRDefault="00F9770B" w:rsidP="00797877">
      <w:pPr>
        <w:pStyle w:val="Default"/>
        <w:spacing w:line="400" w:lineRule="exact"/>
        <w:ind w:firstLineChars="200" w:firstLine="482"/>
        <w:rPr>
          <w:rFonts w:hAnsi="Wingdings" w:hint="eastAsia"/>
          <w:b/>
        </w:rPr>
      </w:pPr>
      <w:r w:rsidRPr="00B20EED">
        <w:rPr>
          <w:rFonts w:hAnsi="Wingdings" w:hint="eastAsia"/>
          <w:b/>
        </w:rPr>
        <w:t xml:space="preserve">三、相关风险提示 </w:t>
      </w:r>
    </w:p>
    <w:p w:rsidR="00F9770B" w:rsidRPr="004E2E68" w:rsidRDefault="00756443" w:rsidP="00797877">
      <w:pPr>
        <w:pStyle w:val="Default"/>
        <w:spacing w:line="400" w:lineRule="exact"/>
        <w:ind w:firstLineChars="200" w:firstLine="480"/>
        <w:rPr>
          <w:rFonts w:hAnsi="Wingdings" w:hint="eastAsia"/>
        </w:rPr>
      </w:pPr>
      <w:r>
        <w:rPr>
          <w:rFonts w:hAnsi="Wingdings" w:hint="eastAsia"/>
        </w:rPr>
        <w:t>本次利润分配方</w:t>
      </w:r>
      <w:r w:rsidR="00F9770B" w:rsidRPr="004E2E68">
        <w:rPr>
          <w:rFonts w:hAnsi="Wingdings" w:hint="eastAsia"/>
        </w:rPr>
        <w:t>案尚须提交公司202</w:t>
      </w:r>
      <w:r w:rsidR="00CC0D00">
        <w:rPr>
          <w:rFonts w:hAnsi="Wingdings"/>
        </w:rPr>
        <w:t>1</w:t>
      </w:r>
      <w:r w:rsidR="00F9770B" w:rsidRPr="004E2E68">
        <w:rPr>
          <w:rFonts w:hAnsi="Wingdings" w:hint="eastAsia"/>
        </w:rPr>
        <w:t xml:space="preserve">年度股东大会批准，敬请广大投资者注意投资风险。 </w:t>
      </w:r>
    </w:p>
    <w:p w:rsidR="00F9770B" w:rsidRPr="004E2E68" w:rsidRDefault="00F9770B" w:rsidP="00797877">
      <w:pPr>
        <w:pStyle w:val="Default"/>
        <w:spacing w:line="400" w:lineRule="exact"/>
        <w:ind w:firstLineChars="200" w:firstLine="482"/>
        <w:rPr>
          <w:rFonts w:hAnsi="Wingdings" w:hint="eastAsia"/>
          <w:b/>
        </w:rPr>
      </w:pPr>
      <w:r w:rsidRPr="004E2E68">
        <w:rPr>
          <w:rFonts w:hAnsi="Wingdings" w:hint="eastAsia"/>
          <w:b/>
        </w:rPr>
        <w:t xml:space="preserve">四、备查文件 </w:t>
      </w:r>
    </w:p>
    <w:p w:rsidR="00F9770B" w:rsidRPr="004E2E68" w:rsidRDefault="00F9770B" w:rsidP="00797877">
      <w:pPr>
        <w:pStyle w:val="Default"/>
        <w:spacing w:line="400" w:lineRule="exact"/>
        <w:ind w:firstLineChars="200" w:firstLine="480"/>
        <w:rPr>
          <w:rFonts w:hAnsi="Wingdings" w:hint="eastAsia"/>
        </w:rPr>
      </w:pPr>
      <w:r w:rsidRPr="004E2E68">
        <w:rPr>
          <w:rFonts w:hAnsi="Wingdings" w:hint="eastAsia"/>
        </w:rPr>
        <w:t>（一）</w:t>
      </w:r>
      <w:r w:rsidR="007C0343">
        <w:rPr>
          <w:rFonts w:hAnsi="Wingdings" w:hint="eastAsia"/>
        </w:rPr>
        <w:t>七届十</w:t>
      </w:r>
      <w:r w:rsidR="00CC0D00">
        <w:rPr>
          <w:rFonts w:hAnsi="Wingdings" w:hint="eastAsia"/>
        </w:rPr>
        <w:t>五</w:t>
      </w:r>
      <w:r w:rsidR="007C0343">
        <w:rPr>
          <w:rFonts w:hAnsi="Wingdings" w:hint="eastAsia"/>
        </w:rPr>
        <w:t>次</w:t>
      </w:r>
      <w:r w:rsidRPr="004E2E68">
        <w:rPr>
          <w:rFonts w:hAnsi="Wingdings" w:hint="eastAsia"/>
        </w:rPr>
        <w:t xml:space="preserve">董事会决议； </w:t>
      </w:r>
    </w:p>
    <w:p w:rsidR="00F9770B" w:rsidRPr="004E2E68" w:rsidRDefault="00F9770B" w:rsidP="00797877">
      <w:pPr>
        <w:pStyle w:val="Default"/>
        <w:spacing w:line="400" w:lineRule="exact"/>
        <w:ind w:firstLineChars="200" w:firstLine="480"/>
        <w:rPr>
          <w:rFonts w:hAnsi="Wingdings" w:hint="eastAsia"/>
        </w:rPr>
      </w:pPr>
      <w:r w:rsidRPr="004E2E68">
        <w:rPr>
          <w:rFonts w:hAnsi="Wingdings" w:hint="eastAsia"/>
        </w:rPr>
        <w:t>（二）</w:t>
      </w:r>
      <w:r w:rsidR="007C0343">
        <w:rPr>
          <w:rFonts w:hAnsi="Wingdings" w:hint="eastAsia"/>
        </w:rPr>
        <w:t>七届十</w:t>
      </w:r>
      <w:r w:rsidR="00CC0D00">
        <w:rPr>
          <w:rFonts w:hAnsi="Wingdings" w:hint="eastAsia"/>
        </w:rPr>
        <w:t>五</w:t>
      </w:r>
      <w:r w:rsidR="007C0343">
        <w:rPr>
          <w:rFonts w:hAnsi="Wingdings" w:hint="eastAsia"/>
        </w:rPr>
        <w:t>次</w:t>
      </w:r>
      <w:r w:rsidRPr="004E2E68">
        <w:rPr>
          <w:rFonts w:hAnsi="Wingdings" w:hint="eastAsia"/>
        </w:rPr>
        <w:t xml:space="preserve">监事会决议； </w:t>
      </w:r>
    </w:p>
    <w:p w:rsidR="00C70960" w:rsidRPr="004E2E68" w:rsidRDefault="00F9770B" w:rsidP="00797877">
      <w:pPr>
        <w:pStyle w:val="Default"/>
        <w:spacing w:line="400" w:lineRule="exact"/>
        <w:ind w:firstLineChars="200" w:firstLine="480"/>
        <w:rPr>
          <w:rFonts w:hAnsi="Wingdings" w:hint="eastAsia"/>
        </w:rPr>
      </w:pPr>
      <w:r w:rsidRPr="004E2E68">
        <w:rPr>
          <w:rFonts w:hAnsi="Wingdings" w:hint="eastAsia"/>
        </w:rPr>
        <w:t>（三）独立董事意见。</w:t>
      </w:r>
    </w:p>
    <w:p w:rsidR="00C70960" w:rsidRPr="004E2E68" w:rsidRDefault="00C70960" w:rsidP="00797877">
      <w:pPr>
        <w:pStyle w:val="Default"/>
        <w:spacing w:line="400" w:lineRule="exact"/>
        <w:rPr>
          <w:rFonts w:hAnsi="Wingdings" w:hint="eastAsia"/>
        </w:rPr>
      </w:pPr>
    </w:p>
    <w:p w:rsidR="00F9770B" w:rsidRPr="004E2E68" w:rsidRDefault="00F9770B" w:rsidP="00797877">
      <w:pPr>
        <w:pStyle w:val="Default"/>
        <w:spacing w:line="400" w:lineRule="exact"/>
        <w:ind w:firstLineChars="200" w:firstLine="480"/>
        <w:rPr>
          <w:rFonts w:hAnsi="Wingdings" w:hint="eastAsia"/>
        </w:rPr>
      </w:pPr>
      <w:r w:rsidRPr="004E2E68">
        <w:rPr>
          <w:rFonts w:hAnsi="Wingdings" w:hint="eastAsia"/>
        </w:rPr>
        <w:t xml:space="preserve">特此公告。 </w:t>
      </w:r>
    </w:p>
    <w:p w:rsidR="00C70960" w:rsidRPr="004E2E68" w:rsidRDefault="00C70960" w:rsidP="00797877">
      <w:pPr>
        <w:pStyle w:val="Default"/>
        <w:spacing w:line="400" w:lineRule="exact"/>
        <w:ind w:firstLineChars="1400" w:firstLine="3360"/>
        <w:rPr>
          <w:rFonts w:hAnsi="Wingdings" w:hint="eastAsia"/>
        </w:rPr>
      </w:pPr>
    </w:p>
    <w:p w:rsidR="00C70960" w:rsidRPr="004E2E68" w:rsidRDefault="00C70960" w:rsidP="00797877">
      <w:pPr>
        <w:pStyle w:val="Default"/>
        <w:spacing w:line="400" w:lineRule="exact"/>
        <w:ind w:firstLineChars="1400" w:firstLine="3360"/>
        <w:rPr>
          <w:rFonts w:hAnsi="Wingdings" w:hint="eastAsia"/>
        </w:rPr>
      </w:pPr>
    </w:p>
    <w:p w:rsidR="00C70960" w:rsidRPr="004E2E68" w:rsidRDefault="00C70960" w:rsidP="00797877">
      <w:pPr>
        <w:pStyle w:val="Default"/>
        <w:spacing w:line="400" w:lineRule="exact"/>
        <w:ind w:firstLineChars="1400" w:firstLine="3360"/>
        <w:rPr>
          <w:rFonts w:hAnsi="Wingdings" w:hint="eastAsia"/>
        </w:rPr>
      </w:pPr>
    </w:p>
    <w:p w:rsidR="00F9770B" w:rsidRPr="004E2E68" w:rsidRDefault="00E638C2" w:rsidP="00797877">
      <w:pPr>
        <w:pStyle w:val="Default"/>
        <w:spacing w:line="400" w:lineRule="exact"/>
        <w:ind w:firstLineChars="1400" w:firstLine="3360"/>
        <w:rPr>
          <w:rFonts w:hAnsi="Wingdings" w:hint="eastAsia"/>
        </w:rPr>
      </w:pPr>
      <w:r w:rsidRPr="004E2E68">
        <w:rPr>
          <w:rFonts w:hAnsi="Wingdings" w:hint="eastAsia"/>
        </w:rPr>
        <w:t>钱江水利开发</w:t>
      </w:r>
      <w:r w:rsidR="00F9770B" w:rsidRPr="004E2E68">
        <w:rPr>
          <w:rFonts w:hAnsi="Wingdings" w:hint="eastAsia"/>
        </w:rPr>
        <w:t xml:space="preserve">股份有限公司董事会 </w:t>
      </w:r>
    </w:p>
    <w:p w:rsidR="00886808" w:rsidRPr="004E2E68" w:rsidRDefault="00F9770B" w:rsidP="00797877">
      <w:pPr>
        <w:spacing w:line="400" w:lineRule="exact"/>
        <w:ind w:firstLineChars="1900" w:firstLine="4560"/>
        <w:rPr>
          <w:sz w:val="24"/>
        </w:rPr>
      </w:pPr>
      <w:r w:rsidRPr="004E2E68">
        <w:rPr>
          <w:rFonts w:hAnsi="Wingdings" w:hint="eastAsia"/>
          <w:sz w:val="24"/>
        </w:rPr>
        <w:t>202</w:t>
      </w:r>
      <w:r w:rsidR="00CC0D00">
        <w:rPr>
          <w:rFonts w:hAnsi="Wingdings"/>
          <w:sz w:val="24"/>
        </w:rPr>
        <w:t>2</w:t>
      </w:r>
      <w:r w:rsidRPr="004E2E68">
        <w:rPr>
          <w:rFonts w:hAnsi="Wingdings" w:hint="eastAsia"/>
          <w:sz w:val="24"/>
        </w:rPr>
        <w:t>年</w:t>
      </w:r>
      <w:r w:rsidR="00E638C2" w:rsidRPr="004E2E68">
        <w:rPr>
          <w:rFonts w:hAnsi="Wingdings"/>
          <w:sz w:val="24"/>
        </w:rPr>
        <w:t>4</w:t>
      </w:r>
      <w:r w:rsidRPr="004E2E68">
        <w:rPr>
          <w:rFonts w:hAnsi="Wingdings" w:hint="eastAsia"/>
          <w:sz w:val="24"/>
        </w:rPr>
        <w:t>月</w:t>
      </w:r>
      <w:r w:rsidR="00CC0D00">
        <w:rPr>
          <w:rFonts w:hAnsi="Wingdings"/>
          <w:sz w:val="24"/>
        </w:rPr>
        <w:t>2</w:t>
      </w:r>
      <w:r w:rsidR="00E638C2" w:rsidRPr="004E2E68">
        <w:rPr>
          <w:rFonts w:hAnsi="Wingdings"/>
          <w:sz w:val="24"/>
        </w:rPr>
        <w:t>0</w:t>
      </w:r>
      <w:r w:rsidRPr="004E2E68">
        <w:rPr>
          <w:rFonts w:hAnsi="Wingdings" w:hint="eastAsia"/>
          <w:sz w:val="24"/>
        </w:rPr>
        <w:t>日</w:t>
      </w:r>
    </w:p>
    <w:sectPr w:rsidR="00886808" w:rsidRPr="004E2E6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E35" w:rsidRDefault="003C1E35" w:rsidP="00F9770B">
      <w:r>
        <w:separator/>
      </w:r>
    </w:p>
  </w:endnote>
  <w:endnote w:type="continuationSeparator" w:id="0">
    <w:p w:rsidR="003C1E35" w:rsidRDefault="003C1E35" w:rsidP="00F9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08839"/>
      <w:docPartObj>
        <w:docPartGallery w:val="Page Numbers (Bottom of Page)"/>
        <w:docPartUnique/>
      </w:docPartObj>
    </w:sdtPr>
    <w:sdtEndPr/>
    <w:sdtContent>
      <w:p w:rsidR="00C70960" w:rsidRDefault="00C70960">
        <w:pPr>
          <w:pStyle w:val="a5"/>
          <w:jc w:val="center"/>
        </w:pPr>
        <w:r>
          <w:fldChar w:fldCharType="begin"/>
        </w:r>
        <w:r>
          <w:instrText>PAGE   \* MERGEFORMAT</w:instrText>
        </w:r>
        <w:r>
          <w:fldChar w:fldCharType="separate"/>
        </w:r>
        <w:r w:rsidR="00041582" w:rsidRPr="00041582">
          <w:rPr>
            <w:noProof/>
            <w:lang w:val="zh-CN"/>
          </w:rPr>
          <w:t>2</w:t>
        </w:r>
        <w:r>
          <w:fldChar w:fldCharType="end"/>
        </w:r>
      </w:p>
    </w:sdtContent>
  </w:sdt>
  <w:p w:rsidR="00C70960" w:rsidRDefault="00C709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E35" w:rsidRDefault="003C1E35" w:rsidP="00F9770B">
      <w:r>
        <w:separator/>
      </w:r>
    </w:p>
  </w:footnote>
  <w:footnote w:type="continuationSeparator" w:id="0">
    <w:p w:rsidR="003C1E35" w:rsidRDefault="003C1E35" w:rsidP="00F97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B4A16"/>
    <w:multiLevelType w:val="hybridMultilevel"/>
    <w:tmpl w:val="08EED482"/>
    <w:lvl w:ilvl="0" w:tplc="B456F51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7A9F7DC8"/>
    <w:multiLevelType w:val="hybridMultilevel"/>
    <w:tmpl w:val="5EC88F2C"/>
    <w:lvl w:ilvl="0" w:tplc="BC06CED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E38"/>
    <w:rsid w:val="00004C15"/>
    <w:rsid w:val="0001401A"/>
    <w:rsid w:val="00017375"/>
    <w:rsid w:val="0003696D"/>
    <w:rsid w:val="00041582"/>
    <w:rsid w:val="0007444E"/>
    <w:rsid w:val="00085F09"/>
    <w:rsid w:val="000B29F2"/>
    <w:rsid w:val="000C3794"/>
    <w:rsid w:val="000C5A80"/>
    <w:rsid w:val="000D2019"/>
    <w:rsid w:val="000D217A"/>
    <w:rsid w:val="000F2D4B"/>
    <w:rsid w:val="001451AF"/>
    <w:rsid w:val="001B60C6"/>
    <w:rsid w:val="001E540E"/>
    <w:rsid w:val="001F192B"/>
    <w:rsid w:val="002752C1"/>
    <w:rsid w:val="00292901"/>
    <w:rsid w:val="002A77DE"/>
    <w:rsid w:val="002B6EBB"/>
    <w:rsid w:val="00301774"/>
    <w:rsid w:val="00307624"/>
    <w:rsid w:val="003239D1"/>
    <w:rsid w:val="003428CA"/>
    <w:rsid w:val="00342E65"/>
    <w:rsid w:val="003A193E"/>
    <w:rsid w:val="003C1E35"/>
    <w:rsid w:val="00407110"/>
    <w:rsid w:val="00424F12"/>
    <w:rsid w:val="00474FD7"/>
    <w:rsid w:val="00480941"/>
    <w:rsid w:val="004D24CD"/>
    <w:rsid w:val="004E2E68"/>
    <w:rsid w:val="005B4C0F"/>
    <w:rsid w:val="005C184C"/>
    <w:rsid w:val="005F6E8E"/>
    <w:rsid w:val="00610016"/>
    <w:rsid w:val="00625A41"/>
    <w:rsid w:val="00626054"/>
    <w:rsid w:val="006665EC"/>
    <w:rsid w:val="00691463"/>
    <w:rsid w:val="00695B25"/>
    <w:rsid w:val="006B05CA"/>
    <w:rsid w:val="006C39AF"/>
    <w:rsid w:val="006E0415"/>
    <w:rsid w:val="00756443"/>
    <w:rsid w:val="00764EC1"/>
    <w:rsid w:val="00797877"/>
    <w:rsid w:val="007A2BDA"/>
    <w:rsid w:val="007C0343"/>
    <w:rsid w:val="007C6320"/>
    <w:rsid w:val="00815371"/>
    <w:rsid w:val="00821503"/>
    <w:rsid w:val="008248A4"/>
    <w:rsid w:val="00832E6D"/>
    <w:rsid w:val="00834994"/>
    <w:rsid w:val="0084478D"/>
    <w:rsid w:val="00860FC7"/>
    <w:rsid w:val="008638C3"/>
    <w:rsid w:val="00872F77"/>
    <w:rsid w:val="00886808"/>
    <w:rsid w:val="00887787"/>
    <w:rsid w:val="008D0B77"/>
    <w:rsid w:val="008D4CDE"/>
    <w:rsid w:val="00962F07"/>
    <w:rsid w:val="009755B6"/>
    <w:rsid w:val="00987F79"/>
    <w:rsid w:val="009B5875"/>
    <w:rsid w:val="009D6476"/>
    <w:rsid w:val="009E03DF"/>
    <w:rsid w:val="00AA7E38"/>
    <w:rsid w:val="00AB3B35"/>
    <w:rsid w:val="00AD325C"/>
    <w:rsid w:val="00AE5D8A"/>
    <w:rsid w:val="00B06783"/>
    <w:rsid w:val="00B20EED"/>
    <w:rsid w:val="00B357D2"/>
    <w:rsid w:val="00B71D70"/>
    <w:rsid w:val="00B823BB"/>
    <w:rsid w:val="00B826CA"/>
    <w:rsid w:val="00BA720F"/>
    <w:rsid w:val="00BC39F1"/>
    <w:rsid w:val="00BD3A5C"/>
    <w:rsid w:val="00BF5D9A"/>
    <w:rsid w:val="00C37BAD"/>
    <w:rsid w:val="00C70960"/>
    <w:rsid w:val="00C77B3E"/>
    <w:rsid w:val="00C832BD"/>
    <w:rsid w:val="00CB12F1"/>
    <w:rsid w:val="00CC0D00"/>
    <w:rsid w:val="00CC7096"/>
    <w:rsid w:val="00CF4DF7"/>
    <w:rsid w:val="00D04A11"/>
    <w:rsid w:val="00D05B98"/>
    <w:rsid w:val="00D24B9E"/>
    <w:rsid w:val="00D97DE3"/>
    <w:rsid w:val="00DB477C"/>
    <w:rsid w:val="00DC21D8"/>
    <w:rsid w:val="00DC6449"/>
    <w:rsid w:val="00DC77A6"/>
    <w:rsid w:val="00DE3350"/>
    <w:rsid w:val="00E210FA"/>
    <w:rsid w:val="00E46501"/>
    <w:rsid w:val="00E52EA3"/>
    <w:rsid w:val="00E638C2"/>
    <w:rsid w:val="00E82B95"/>
    <w:rsid w:val="00E95868"/>
    <w:rsid w:val="00E973B0"/>
    <w:rsid w:val="00EB1DB6"/>
    <w:rsid w:val="00EC5CFC"/>
    <w:rsid w:val="00EE73C6"/>
    <w:rsid w:val="00EF233E"/>
    <w:rsid w:val="00EF46DD"/>
    <w:rsid w:val="00F002F0"/>
    <w:rsid w:val="00F00CA8"/>
    <w:rsid w:val="00F05214"/>
    <w:rsid w:val="00F35027"/>
    <w:rsid w:val="00F37792"/>
    <w:rsid w:val="00F53712"/>
    <w:rsid w:val="00F609C6"/>
    <w:rsid w:val="00F652DD"/>
    <w:rsid w:val="00F97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615B9"/>
  <w15:chartTrackingRefBased/>
  <w15:docId w15:val="{A499F784-FFCD-4FD6-A2B6-78B7938E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8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9770B"/>
    <w:rPr>
      <w:sz w:val="18"/>
      <w:szCs w:val="18"/>
    </w:rPr>
  </w:style>
  <w:style w:type="paragraph" w:styleId="a5">
    <w:name w:val="footer"/>
    <w:basedOn w:val="a"/>
    <w:link w:val="a6"/>
    <w:uiPriority w:val="99"/>
    <w:unhideWhenUsed/>
    <w:rsid w:val="00F977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9770B"/>
    <w:rPr>
      <w:sz w:val="18"/>
      <w:szCs w:val="18"/>
    </w:rPr>
  </w:style>
  <w:style w:type="paragraph" w:customStyle="1" w:styleId="Default">
    <w:name w:val="Default"/>
    <w:rsid w:val="00F9770B"/>
    <w:pPr>
      <w:widowControl w:val="0"/>
      <w:autoSpaceDE w:val="0"/>
      <w:autoSpaceDN w:val="0"/>
      <w:adjustRightInd w:val="0"/>
    </w:pPr>
    <w:rPr>
      <w:rFonts w:ascii="宋体" w:eastAsia="宋体" w:cs="宋体"/>
      <w:color w:val="000000"/>
      <w:kern w:val="0"/>
      <w:sz w:val="24"/>
      <w:szCs w:val="24"/>
    </w:rPr>
  </w:style>
  <w:style w:type="paragraph" w:styleId="2">
    <w:name w:val="Body Text Indent 2"/>
    <w:basedOn w:val="a"/>
    <w:link w:val="20"/>
    <w:rsid w:val="00E638C2"/>
    <w:pPr>
      <w:spacing w:after="120" w:line="480" w:lineRule="auto"/>
      <w:ind w:leftChars="200" w:left="200"/>
    </w:pPr>
  </w:style>
  <w:style w:type="character" w:customStyle="1" w:styleId="20">
    <w:name w:val="正文文本缩进 2 字符"/>
    <w:basedOn w:val="a0"/>
    <w:link w:val="2"/>
    <w:rsid w:val="00E638C2"/>
    <w:rPr>
      <w:rFonts w:ascii="Times New Roman" w:eastAsia="宋体" w:hAnsi="Times New Roman" w:cs="Times New Roman"/>
      <w:szCs w:val="24"/>
    </w:rPr>
  </w:style>
  <w:style w:type="paragraph" w:styleId="a7">
    <w:name w:val="No Spacing"/>
    <w:uiPriority w:val="1"/>
    <w:qFormat/>
    <w:rsid w:val="00E638C2"/>
    <w:pPr>
      <w:widowControl w:val="0"/>
      <w:jc w:val="both"/>
    </w:pPr>
    <w:rPr>
      <w:rFonts w:ascii="Times New Roman" w:eastAsia="宋体" w:hAnsi="Times New Roman" w:cs="Times New Roman"/>
      <w:szCs w:val="24"/>
    </w:rPr>
  </w:style>
  <w:style w:type="paragraph" w:styleId="a8">
    <w:name w:val="Balloon Text"/>
    <w:basedOn w:val="a"/>
    <w:link w:val="a9"/>
    <w:uiPriority w:val="99"/>
    <w:semiHidden/>
    <w:unhideWhenUsed/>
    <w:rsid w:val="00CC7096"/>
    <w:rPr>
      <w:sz w:val="18"/>
      <w:szCs w:val="18"/>
    </w:rPr>
  </w:style>
  <w:style w:type="character" w:customStyle="1" w:styleId="a9">
    <w:name w:val="批注框文本 字符"/>
    <w:basedOn w:val="a0"/>
    <w:link w:val="a8"/>
    <w:uiPriority w:val="99"/>
    <w:semiHidden/>
    <w:rsid w:val="00CC709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庄喻雯</cp:lastModifiedBy>
  <cp:revision>16</cp:revision>
  <cp:lastPrinted>2021-04-07T06:24:00Z</cp:lastPrinted>
  <dcterms:created xsi:type="dcterms:W3CDTF">2022-04-11T01:55:00Z</dcterms:created>
  <dcterms:modified xsi:type="dcterms:W3CDTF">2022-04-19T01:12:00Z</dcterms:modified>
</cp:coreProperties>
</file>