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CB1" w:rsidRDefault="00F05CB1" w:rsidP="00637587">
      <w:pPr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  <w:r>
        <w:rPr>
          <w:rFonts w:ascii="宋体" w:hAnsi="宋体" w:hint="eastAsia"/>
          <w:sz w:val="24"/>
        </w:rPr>
        <w:t>证券代码：600283    证券简称：钱江水利     公告编号：临</w:t>
      </w:r>
      <w:r w:rsidR="00ED17F9">
        <w:rPr>
          <w:rFonts w:ascii="宋体" w:hAnsi="宋体" w:hint="eastAsia"/>
          <w:sz w:val="24"/>
        </w:rPr>
        <w:t>20</w:t>
      </w:r>
      <w:r w:rsidR="007F2441">
        <w:rPr>
          <w:rFonts w:ascii="宋体" w:hAnsi="宋体"/>
          <w:sz w:val="24"/>
        </w:rPr>
        <w:t>2</w:t>
      </w:r>
      <w:r w:rsidR="0031759F">
        <w:rPr>
          <w:rFonts w:ascii="宋体" w:hAnsi="宋体"/>
          <w:sz w:val="24"/>
        </w:rPr>
        <w:t>2</w:t>
      </w:r>
      <w:r w:rsidR="00FD4C28">
        <w:rPr>
          <w:rFonts w:ascii="宋体" w:hAnsi="宋体" w:hint="eastAsia"/>
          <w:sz w:val="24"/>
        </w:rPr>
        <w:t>-0</w:t>
      </w:r>
      <w:r w:rsidR="00BD7C55">
        <w:rPr>
          <w:rFonts w:ascii="宋体" w:hAnsi="宋体"/>
          <w:sz w:val="24"/>
        </w:rPr>
        <w:t>10</w:t>
      </w:r>
    </w:p>
    <w:p w:rsidR="007F2441" w:rsidRDefault="007F2441" w:rsidP="00637587">
      <w:pPr>
        <w:autoSpaceDE w:val="0"/>
        <w:autoSpaceDN w:val="0"/>
        <w:adjustRightInd w:val="0"/>
        <w:ind w:firstLineChars="200" w:firstLine="640"/>
        <w:jc w:val="center"/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</w:p>
    <w:p w:rsidR="00637587" w:rsidRDefault="00F05CB1" w:rsidP="00637587">
      <w:pPr>
        <w:autoSpaceDE w:val="0"/>
        <w:autoSpaceDN w:val="0"/>
        <w:adjustRightInd w:val="0"/>
        <w:ind w:firstLineChars="200" w:firstLine="640"/>
        <w:jc w:val="center"/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  <w:r>
        <w:rPr>
          <w:rFonts w:ascii="仿宋_GB2312-WinCharSetFFFF-H" w:eastAsia="仿宋_GB2312-WinCharSetFFFF-H" w:cs="仿宋_GB2312-WinCharSetFFFF-H" w:hint="eastAsia"/>
          <w:color w:val="FF0000"/>
          <w:kern w:val="0"/>
          <w:sz w:val="32"/>
          <w:szCs w:val="32"/>
        </w:rPr>
        <w:t>钱江水利开发股份有限公司为控股子公司</w:t>
      </w:r>
    </w:p>
    <w:p w:rsidR="00F05CB1" w:rsidRDefault="00F05CB1" w:rsidP="00637587">
      <w:pPr>
        <w:autoSpaceDE w:val="0"/>
        <w:autoSpaceDN w:val="0"/>
        <w:adjustRightInd w:val="0"/>
        <w:ind w:firstLineChars="200" w:firstLine="640"/>
        <w:jc w:val="center"/>
        <w:rPr>
          <w:rFonts w:ascii="仿宋_GB2312-WinCharSetFFFF-H" w:eastAsia="仿宋_GB2312-WinCharSetFFFF-H" w:cs="仿宋_GB2312-WinCharSetFFFF-H"/>
          <w:color w:val="FF0000"/>
          <w:kern w:val="0"/>
          <w:sz w:val="32"/>
          <w:szCs w:val="32"/>
        </w:rPr>
      </w:pPr>
      <w:r>
        <w:rPr>
          <w:rFonts w:ascii="仿宋_GB2312-WinCharSetFFFF-H" w:eastAsia="仿宋_GB2312-WinCharSetFFFF-H" w:cs="仿宋_GB2312-WinCharSetFFFF-H" w:hint="eastAsia"/>
          <w:color w:val="FF0000"/>
          <w:kern w:val="0"/>
          <w:sz w:val="32"/>
          <w:szCs w:val="32"/>
        </w:rPr>
        <w:t>提供担保的公告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重要内容提示：</w:t>
      </w:r>
    </w:p>
    <w:p w:rsidR="00EB04ED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●被担保人：</w:t>
      </w:r>
      <w:r w:rsidR="00C7387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丽水市供排水有限责任公司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、宁海县兴海污水处理有限公司；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●本次为其担保计划金额：</w:t>
      </w:r>
      <w:r w:rsidR="0031759F">
        <w:rPr>
          <w:rFonts w:asciiTheme="minorEastAsia" w:eastAsiaTheme="minorEastAsia" w:hAnsiTheme="minorEastAsia" w:cs="仿宋_GB2312-WinCharSetFFFF-H"/>
          <w:kern w:val="0"/>
          <w:sz w:val="24"/>
        </w:rPr>
        <w:t>3.50</w:t>
      </w:r>
      <w:r w:rsidR="00CD68AE"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亿元</w:t>
      </w:r>
      <w:r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人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民币；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●本次无反担保；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●公司无逾期对外担保。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一、担保情况概述</w:t>
      </w:r>
    </w:p>
    <w:p w:rsidR="00CD68AE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钱江水利开发股份有限公司（以下简称“公司”）</w:t>
      </w:r>
      <w:r w:rsidR="00C7387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届</w:t>
      </w:r>
      <w:r w:rsidR="00EB04E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十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次董事会审议并通过了《关于公司为控股子公司提供担保的议案》，表决结果为</w:t>
      </w:r>
      <w:r w:rsidR="0031759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8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 xml:space="preserve"> 票赞成，0 票反对，0 票弃权。</w:t>
      </w:r>
      <w:r w:rsidR="00B100D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公司拟在</w:t>
      </w:r>
      <w:r w:rsidR="008D4E28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EB04ED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31759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491EA4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年度为</w:t>
      </w:r>
      <w:r w:rsidR="00B100D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控股子公司借款提供以融资担保余额计算，额度为人民</w:t>
      </w:r>
      <w:r w:rsidR="00B100D1"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币</w:t>
      </w:r>
      <w:r w:rsidR="0031759F">
        <w:rPr>
          <w:rFonts w:asciiTheme="minorEastAsia" w:eastAsiaTheme="minorEastAsia" w:hAnsiTheme="minorEastAsia" w:cs="仿宋_GB2312-WinCharSetFFFF-H"/>
          <w:kern w:val="0"/>
          <w:sz w:val="24"/>
        </w:rPr>
        <w:t>3.50</w:t>
      </w:r>
      <w:r w:rsidR="00B100D1" w:rsidRPr="00946969">
        <w:rPr>
          <w:rFonts w:asciiTheme="minorEastAsia" w:eastAsiaTheme="minorEastAsia" w:hAnsiTheme="minorEastAsia" w:cs="仿宋_GB2312-WinCharSetFFFF-H" w:hint="eastAsia"/>
          <w:kern w:val="0"/>
          <w:sz w:val="24"/>
        </w:rPr>
        <w:t>亿元的担</w:t>
      </w:r>
      <w:r w:rsidR="00B100D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保。</w:t>
      </w:r>
    </w:p>
    <w:p w:rsidR="00B100D1" w:rsidRPr="00946969" w:rsidRDefault="00B100D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根据《上海证券交易所上市规则》及《公司章程》的相关规定，本项议案需提交公司</w:t>
      </w:r>
      <w:r w:rsidR="00EB04E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EB04ED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31759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="00CD68A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年度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股东大会审议。公司在上述额度内提供连带责任担保，并授权公司董事长签署担保协议等相关法律文书，本授权有效期至下一年度股东大会召开日止。</w:t>
      </w:r>
    </w:p>
    <w:p w:rsidR="000B5BEC" w:rsidRPr="00946969" w:rsidRDefault="00F05CB1" w:rsidP="0031759F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 xml:space="preserve">    二、被担保人基本情况</w:t>
      </w:r>
    </w:p>
    <w:p w:rsidR="00C7387E" w:rsidRPr="00946969" w:rsidRDefault="0031759F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="00C7387E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、丽水市供排水有限责任公司（以下简称“丽水</w:t>
      </w:r>
      <w:r w:rsidR="00DC0C75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供排水</w:t>
      </w:r>
      <w:r w:rsidR="00EE2C28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</w:t>
      </w:r>
      <w:r w:rsidR="00C7387E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”）</w:t>
      </w:r>
    </w:p>
    <w:p w:rsidR="00946261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住所：</w:t>
      </w:r>
      <w:r w:rsidR="0021150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浙江省丽水市莲都区北环路155号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公司类型：</w:t>
      </w:r>
      <w:r w:rsidR="0021150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其他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有限责任公司</w:t>
      </w:r>
    </w:p>
    <w:p w:rsidR="008B61DC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统一社会信用代码：</w:t>
      </w:r>
      <w:r w:rsidR="0021150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91331100148412933T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注册资本：</w:t>
      </w:r>
      <w:r w:rsid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50,917</w:t>
      </w:r>
      <w:r w:rsidR="00933433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.98</w:t>
      </w:r>
      <w:r w:rsidR="00933433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元人民币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法定代表人：</w:t>
      </w:r>
      <w:r w:rsidR="00EB04E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张承儒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成立日期：</w:t>
      </w:r>
      <w:r w:rsidR="00A2691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1995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A2691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4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月</w:t>
      </w:r>
      <w:r w:rsidR="00A2691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8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主要经营范围：</w:t>
      </w:r>
      <w:r w:rsidR="00A2691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自来水的生产供应、污水处理、供排水管道、节水设备、小型供水设施供应及安装维修，水表检测和维修，水资源开发、水力发电，质检技术服务等。（依法须经批准的项目、经相关部门批准后方可开展经营活</w:t>
      </w:r>
      <w:r w:rsidR="00A2691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lastRenderedPageBreak/>
        <w:t>动）</w:t>
      </w:r>
    </w:p>
    <w:p w:rsidR="00DB695A" w:rsidRPr="00946969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与本公司关系：系本公司的控股子公司。公司持有股份</w:t>
      </w:r>
      <w:r w:rsidR="008B61DC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70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.00%。</w:t>
      </w:r>
    </w:p>
    <w:p w:rsidR="00DB695A" w:rsidRDefault="00DB695A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截止</w:t>
      </w:r>
      <w:r w:rsidR="00EB04ED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EB04ED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BD7C55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年12月31日，</w:t>
      </w:r>
      <w:r w:rsidR="008B61DC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丽水</w:t>
      </w:r>
      <w:r w:rsidR="00DC0C75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供排水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公司总资产</w:t>
      </w:r>
      <w:r w:rsidR="00365DA7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122,403.53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万元，净资产</w:t>
      </w:r>
      <w:r w:rsidR="00BD7C55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55,384.94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万元；</w:t>
      </w:r>
      <w:r w:rsidR="00EB04ED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EB04ED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BD7C55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年实现营业收入</w:t>
      </w:r>
      <w:r w:rsidR="00BD7C55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29,164.32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万元，净利润</w:t>
      </w:r>
      <w:r w:rsidR="00BD7C55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4,515.20</w:t>
      </w:r>
      <w:r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万元。</w:t>
      </w:r>
    </w:p>
    <w:p w:rsidR="00946969" w:rsidRDefault="00946969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31759F" w:rsidRDefault="0031759F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2、宁海县兴海污水处理有限公司（以下简称“宁海公司”）</w:t>
      </w:r>
    </w:p>
    <w:p w:rsidR="0031759F" w:rsidRPr="00946969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住所：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宁海县桃源接到尤家村</w:t>
      </w:r>
    </w:p>
    <w:p w:rsidR="0031759F" w:rsidRPr="00946969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公司类型：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有限责任公司</w:t>
      </w:r>
    </w:p>
    <w:p w:rsidR="0031759F" w:rsidRPr="00946969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统一社会信用代码：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9</w:t>
      </w:r>
      <w:r w:rsidR="00065EE1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1330226742192785E</w:t>
      </w:r>
    </w:p>
    <w:p w:rsidR="0031759F" w:rsidRPr="00946969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注册资本：</w:t>
      </w:r>
      <w:r w:rsid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8</w:t>
      </w:r>
      <w:r w:rsid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,000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万元整</w:t>
      </w:r>
    </w:p>
    <w:p w:rsidR="0031759F" w:rsidRPr="00946969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法定代表人：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王朝晖</w:t>
      </w:r>
    </w:p>
    <w:p w:rsidR="0031759F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成立日期：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</w:t>
      </w:r>
      <w:r w:rsidR="00065EE1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002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年1</w:t>
      </w:r>
      <w:r w:rsidR="00065EE1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月0</w:t>
      </w:r>
      <w:r w:rsidR="00065EE1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5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</w:p>
    <w:p w:rsidR="0031759F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主要经营范围：</w:t>
      </w:r>
      <w:r w:rsidR="00065EE1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城市污水项目处理、投资、经营，污泥处理和中水回用项目的开发、经营、管理，技术咨询服务。（未经金融等监管部门批准不得从事吸收存款、融资担保、代客理财、向社会公众集（融）资等金融业务）（依法须经批准的项目，经相关部门批准后方可开展经营活动）</w:t>
      </w:r>
    </w:p>
    <w:p w:rsidR="0031759F" w:rsidRDefault="0031759F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与本公司关系：</w:t>
      </w:r>
      <w:r w:rsidR="00D8796F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系本公司的控股子公司。公司持有股份</w:t>
      </w:r>
      <w:r w:rsidR="00D8796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6</w:t>
      </w:r>
      <w:r w:rsidR="00D8796F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0.00%。</w:t>
      </w:r>
    </w:p>
    <w:p w:rsidR="00D8796F" w:rsidRDefault="00D8796F" w:rsidP="00D8796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截止20</w:t>
      </w:r>
      <w:r w:rsidRPr="00D8796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年12月31日，</w:t>
      </w:r>
      <w:r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宁海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公司总资产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33</w:t>
      </w:r>
      <w:r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,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375.71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万元，净资产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16,648.07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万元；20</w:t>
      </w:r>
      <w:r w:rsidRPr="00D8796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年实现营业收入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4,065.72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万元，净利润</w:t>
      </w:r>
      <w:r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41.46</w:t>
      </w:r>
      <w:r w:rsidRPr="00D8796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万元。</w:t>
      </w:r>
    </w:p>
    <w:p w:rsidR="0031759F" w:rsidRDefault="0031759F" w:rsidP="00D8796F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DC602C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DC602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三、担保的主要内容</w:t>
      </w:r>
    </w:p>
    <w:p w:rsidR="00090B5D" w:rsidRDefault="00EE2C28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DC602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1、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丽水供排水公司2</w:t>
      </w:r>
      <w:r w:rsidR="0031759F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022</w:t>
      </w:r>
      <w:r w:rsidR="0031759F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年新建胡村水厂，</w:t>
      </w:r>
      <w:r w:rsidR="005D4C09"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公司计划为其</w:t>
      </w:r>
      <w:r w:rsidR="0031759F"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提供</w:t>
      </w:r>
      <w:r w:rsidR="005D4C09"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不超过十年的借款担保</w:t>
      </w:r>
      <w:r w:rsidR="0031759F"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3亿元。</w:t>
      </w:r>
    </w:p>
    <w:p w:rsidR="005D4C09" w:rsidRPr="000B5BEC" w:rsidRDefault="005D4C09" w:rsidP="0031759F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2、</w:t>
      </w:r>
      <w:r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宁海公司因贷款到期需续贷及生产经营所需，公司为其供担保0</w:t>
      </w:r>
      <w:r w:rsidRPr="005D4C09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.5</w:t>
      </w:r>
      <w:r w:rsidRPr="005D4C0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亿元借款担保，期限二年，在有效期内可循环使用</w:t>
      </w:r>
      <w:r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。</w:t>
      </w:r>
    </w:p>
    <w:p w:rsidR="00B030E4" w:rsidRPr="00EB04ED" w:rsidRDefault="00B030E4" w:rsidP="00030BA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946969" w:rsidRDefault="00F05CB1" w:rsidP="00030BA3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四、董事会意见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公司董事会对上述担保事宜进行了充分论证，参会董事认为：控股子公司借款资金主要用于</w:t>
      </w:r>
      <w:r w:rsidR="00CD68AE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主业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工程建设期间的资金周转</w:t>
      </w:r>
      <w:r w:rsidR="008C42B6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和生产经营</w:t>
      </w:r>
      <w:bookmarkStart w:id="0" w:name="_GoBack"/>
      <w:bookmarkEnd w:id="0"/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，属于公司资金合理经营需要，在风险可控前提下，公司为其提供贷款担保未损害公司股东利益。</w:t>
      </w:r>
    </w:p>
    <w:p w:rsidR="00B030E4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242ED7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五、</w:t>
      </w:r>
      <w:r w:rsidR="00242ED7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独立董事意见</w:t>
      </w:r>
    </w:p>
    <w:p w:rsidR="00242ED7" w:rsidRPr="00946969" w:rsidRDefault="00A51A73" w:rsidP="00946969">
      <w:pPr>
        <w:spacing w:line="400" w:lineRule="exact"/>
        <w:ind w:firstLineChars="200" w:firstLine="480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公司独立董事认为：公司能够严格执行国家法律法规和相关监管部门的规定，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lastRenderedPageBreak/>
        <w:t>不存在违规担保行为，切实维护了公司和全体股东的利益。</w:t>
      </w:r>
    </w:p>
    <w:p w:rsidR="00B030E4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064B5D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六、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截止</w:t>
      </w:r>
      <w:r w:rsidR="000B5BE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0B5BEC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790EC6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1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年末，本公司累计担保额为</w:t>
      </w:r>
      <w:r w:rsidR="00E92570" w:rsidRPr="00E92570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56,675.00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万元人民币，占经审计的公司最近一期净资产的</w:t>
      </w:r>
      <w:r w:rsidR="00B11850" w:rsidRPr="00BD7C55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27.23</w:t>
      </w:r>
      <w:r w:rsidR="00F05CB1" w:rsidRPr="00BD7C55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%</w:t>
      </w:r>
      <w:r w:rsidR="00F05CB1" w:rsidRPr="00064B5D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，无逾期担保。</w:t>
      </w:r>
    </w:p>
    <w:p w:rsidR="00B030E4" w:rsidRPr="00C116CF" w:rsidRDefault="00B030E4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FF0000"/>
          <w:kern w:val="0"/>
          <w:sz w:val="24"/>
        </w:rPr>
      </w:pPr>
    </w:p>
    <w:p w:rsidR="00F05CB1" w:rsidRPr="00946969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、备查文件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1</w:t>
      </w:r>
      <w:r w:rsidR="00FD4C28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、公司</w:t>
      </w:r>
      <w:r w:rsidR="000B5BEC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七届十</w:t>
      </w:r>
      <w:r w:rsidR="00E92570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五</w:t>
      </w: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次董事会决议；</w:t>
      </w:r>
    </w:p>
    <w:p w:rsidR="00242ED7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2、</w:t>
      </w:r>
      <w:r w:rsidR="00242ED7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独立董事意见；</w:t>
      </w:r>
    </w:p>
    <w:p w:rsidR="00F05CB1" w:rsidRPr="00946969" w:rsidRDefault="00242ED7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3、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被担保人的基本情况和最近一期的财务报表。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特此公告。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100" w:firstLine="264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1450" w:firstLine="3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钱江水利开发股份有限公司董事会</w:t>
      </w:r>
    </w:p>
    <w:p w:rsidR="00F05CB1" w:rsidRPr="00946969" w:rsidRDefault="00245909" w:rsidP="00946969">
      <w:pPr>
        <w:autoSpaceDE w:val="0"/>
        <w:autoSpaceDN w:val="0"/>
        <w:adjustRightInd w:val="0"/>
        <w:spacing w:line="400" w:lineRule="exact"/>
        <w:ind w:firstLineChars="1900" w:firstLine="456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  <w:r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20</w:t>
      </w:r>
      <w:r w:rsidR="000B5BEC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E92570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年</w:t>
      </w:r>
      <w:r w:rsidR="00EE2C28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4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月</w:t>
      </w:r>
      <w:r w:rsidR="00E92570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2</w:t>
      </w:r>
      <w:r w:rsidR="000B5BEC"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  <w:t>0</w:t>
      </w:r>
      <w:r w:rsidR="00F05CB1" w:rsidRPr="00946969">
        <w:rPr>
          <w:rFonts w:asciiTheme="minorEastAsia" w:eastAsiaTheme="minorEastAsia" w:hAnsiTheme="minorEastAsia" w:cs="仿宋_GB2312-WinCharSetFFFF-H" w:hint="eastAsia"/>
          <w:color w:val="000000"/>
          <w:kern w:val="0"/>
          <w:sz w:val="24"/>
        </w:rPr>
        <w:t>日</w:t>
      </w:r>
    </w:p>
    <w:p w:rsidR="00F05CB1" w:rsidRPr="00946969" w:rsidRDefault="00F05CB1" w:rsidP="0094696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Theme="minorEastAsia" w:eastAsiaTheme="minorEastAsia" w:hAnsiTheme="minorEastAsia" w:cs="仿宋_GB2312-WinCharSetFFFF-H"/>
          <w:color w:val="000000"/>
          <w:kern w:val="0"/>
          <w:sz w:val="24"/>
        </w:rPr>
      </w:pPr>
    </w:p>
    <w:p w:rsidR="00DD0D7C" w:rsidRPr="00946969" w:rsidRDefault="00FD4C28" w:rsidP="00946969">
      <w:pPr>
        <w:tabs>
          <w:tab w:val="left" w:pos="2417"/>
        </w:tabs>
        <w:spacing w:line="400" w:lineRule="exact"/>
        <w:rPr>
          <w:rFonts w:asciiTheme="minorEastAsia" w:eastAsiaTheme="minorEastAsia" w:hAnsiTheme="minorEastAsia"/>
          <w:sz w:val="24"/>
        </w:rPr>
      </w:pPr>
      <w:r w:rsidRPr="00946969">
        <w:rPr>
          <w:rFonts w:asciiTheme="minorEastAsia" w:eastAsiaTheme="minorEastAsia" w:hAnsiTheme="minorEastAsia"/>
          <w:sz w:val="24"/>
        </w:rPr>
        <w:tab/>
      </w:r>
    </w:p>
    <w:sectPr w:rsidR="00DD0D7C" w:rsidRPr="00946969" w:rsidSect="00DD0D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D" w:rsidRDefault="00FE407D" w:rsidP="00B100D1">
      <w:r>
        <w:separator/>
      </w:r>
    </w:p>
  </w:endnote>
  <w:endnote w:type="continuationSeparator" w:id="0">
    <w:p w:rsidR="00FE407D" w:rsidRDefault="00FE407D" w:rsidP="00B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-WinCharSetFFFF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166"/>
      <w:docPartObj>
        <w:docPartGallery w:val="Page Numbers (Bottom of Page)"/>
        <w:docPartUnique/>
      </w:docPartObj>
    </w:sdtPr>
    <w:sdtEndPr/>
    <w:sdtContent>
      <w:p w:rsidR="00FD4C28" w:rsidRDefault="00550168">
        <w:pPr>
          <w:pStyle w:val="a6"/>
          <w:jc w:val="center"/>
        </w:pPr>
        <w:r>
          <w:fldChar w:fldCharType="begin"/>
        </w:r>
        <w:r w:rsidR="005D4E5B">
          <w:instrText xml:space="preserve"> PAGE   \* MERGEFORMAT </w:instrText>
        </w:r>
        <w:r>
          <w:fldChar w:fldCharType="separate"/>
        </w:r>
        <w:r w:rsidR="000324E1" w:rsidRPr="000324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D4C28" w:rsidRDefault="00FD4C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D" w:rsidRDefault="00FE407D" w:rsidP="00B100D1">
      <w:r>
        <w:separator/>
      </w:r>
    </w:p>
  </w:footnote>
  <w:footnote w:type="continuationSeparator" w:id="0">
    <w:p w:rsidR="00FE407D" w:rsidRDefault="00FE407D" w:rsidP="00B1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B1"/>
    <w:rsid w:val="00016382"/>
    <w:rsid w:val="00030BA3"/>
    <w:rsid w:val="000324E1"/>
    <w:rsid w:val="00050EE3"/>
    <w:rsid w:val="00053069"/>
    <w:rsid w:val="0005451F"/>
    <w:rsid w:val="00056213"/>
    <w:rsid w:val="00064B5D"/>
    <w:rsid w:val="00064ED6"/>
    <w:rsid w:val="00065EE1"/>
    <w:rsid w:val="00065F8C"/>
    <w:rsid w:val="000742B7"/>
    <w:rsid w:val="00077C14"/>
    <w:rsid w:val="00082460"/>
    <w:rsid w:val="00090B5D"/>
    <w:rsid w:val="000B5BEC"/>
    <w:rsid w:val="000C3DCC"/>
    <w:rsid w:val="000D657C"/>
    <w:rsid w:val="000D6C04"/>
    <w:rsid w:val="000E31CA"/>
    <w:rsid w:val="000F153B"/>
    <w:rsid w:val="001000C1"/>
    <w:rsid w:val="00100509"/>
    <w:rsid w:val="0010599C"/>
    <w:rsid w:val="00111BC5"/>
    <w:rsid w:val="0011234D"/>
    <w:rsid w:val="0012399E"/>
    <w:rsid w:val="00130FAB"/>
    <w:rsid w:val="001314AD"/>
    <w:rsid w:val="0013161B"/>
    <w:rsid w:val="00131C37"/>
    <w:rsid w:val="0014049A"/>
    <w:rsid w:val="00163628"/>
    <w:rsid w:val="00181F3E"/>
    <w:rsid w:val="001A197D"/>
    <w:rsid w:val="001B2067"/>
    <w:rsid w:val="001C4ACD"/>
    <w:rsid w:val="001D3285"/>
    <w:rsid w:val="001E7BD2"/>
    <w:rsid w:val="001F5282"/>
    <w:rsid w:val="00207632"/>
    <w:rsid w:val="00210AC3"/>
    <w:rsid w:val="0021150E"/>
    <w:rsid w:val="00220537"/>
    <w:rsid w:val="00220C3E"/>
    <w:rsid w:val="002272A2"/>
    <w:rsid w:val="00230A29"/>
    <w:rsid w:val="00242ED7"/>
    <w:rsid w:val="00245909"/>
    <w:rsid w:val="00247990"/>
    <w:rsid w:val="00253802"/>
    <w:rsid w:val="00253C91"/>
    <w:rsid w:val="0027008F"/>
    <w:rsid w:val="0027113D"/>
    <w:rsid w:val="00272DDC"/>
    <w:rsid w:val="00283988"/>
    <w:rsid w:val="00286769"/>
    <w:rsid w:val="00295DA3"/>
    <w:rsid w:val="00296FCE"/>
    <w:rsid w:val="002B0085"/>
    <w:rsid w:val="002C03DC"/>
    <w:rsid w:val="002C2C87"/>
    <w:rsid w:val="002C322E"/>
    <w:rsid w:val="002D2C38"/>
    <w:rsid w:val="002E140D"/>
    <w:rsid w:val="002E7D9E"/>
    <w:rsid w:val="002F2769"/>
    <w:rsid w:val="002F4D39"/>
    <w:rsid w:val="003064F5"/>
    <w:rsid w:val="003157A1"/>
    <w:rsid w:val="0031759F"/>
    <w:rsid w:val="00332EDA"/>
    <w:rsid w:val="003346E9"/>
    <w:rsid w:val="00347141"/>
    <w:rsid w:val="0035326F"/>
    <w:rsid w:val="00365DA7"/>
    <w:rsid w:val="0037527D"/>
    <w:rsid w:val="003A50A9"/>
    <w:rsid w:val="003B2BE1"/>
    <w:rsid w:val="003B3644"/>
    <w:rsid w:val="003D131C"/>
    <w:rsid w:val="003E3490"/>
    <w:rsid w:val="003F09CB"/>
    <w:rsid w:val="003F1A92"/>
    <w:rsid w:val="004041E4"/>
    <w:rsid w:val="004060AE"/>
    <w:rsid w:val="004064A9"/>
    <w:rsid w:val="00406651"/>
    <w:rsid w:val="00451483"/>
    <w:rsid w:val="00457AAC"/>
    <w:rsid w:val="00461528"/>
    <w:rsid w:val="00470919"/>
    <w:rsid w:val="00491EA4"/>
    <w:rsid w:val="004A76BF"/>
    <w:rsid w:val="004C7241"/>
    <w:rsid w:val="004E0441"/>
    <w:rsid w:val="005142F6"/>
    <w:rsid w:val="00516D2C"/>
    <w:rsid w:val="0051794C"/>
    <w:rsid w:val="00521357"/>
    <w:rsid w:val="005259BB"/>
    <w:rsid w:val="00540BA1"/>
    <w:rsid w:val="00550168"/>
    <w:rsid w:val="00555498"/>
    <w:rsid w:val="00555BD1"/>
    <w:rsid w:val="00570586"/>
    <w:rsid w:val="00580EAA"/>
    <w:rsid w:val="005840ED"/>
    <w:rsid w:val="00593C2B"/>
    <w:rsid w:val="005A7C66"/>
    <w:rsid w:val="005B088A"/>
    <w:rsid w:val="005B0C9D"/>
    <w:rsid w:val="005B746E"/>
    <w:rsid w:val="005B7470"/>
    <w:rsid w:val="005C0228"/>
    <w:rsid w:val="005C5E54"/>
    <w:rsid w:val="005D4C09"/>
    <w:rsid w:val="005D4E5B"/>
    <w:rsid w:val="005E48C9"/>
    <w:rsid w:val="005E6E10"/>
    <w:rsid w:val="005F44A4"/>
    <w:rsid w:val="005F52DD"/>
    <w:rsid w:val="00600892"/>
    <w:rsid w:val="006030C4"/>
    <w:rsid w:val="00604D84"/>
    <w:rsid w:val="00605456"/>
    <w:rsid w:val="00613967"/>
    <w:rsid w:val="00626D37"/>
    <w:rsid w:val="00630182"/>
    <w:rsid w:val="00631EB8"/>
    <w:rsid w:val="006344A0"/>
    <w:rsid w:val="00636B9B"/>
    <w:rsid w:val="00637587"/>
    <w:rsid w:val="00654E4A"/>
    <w:rsid w:val="006637A7"/>
    <w:rsid w:val="00673237"/>
    <w:rsid w:val="00690929"/>
    <w:rsid w:val="006A1C77"/>
    <w:rsid w:val="006A7CE6"/>
    <w:rsid w:val="006B1FF3"/>
    <w:rsid w:val="006D11A0"/>
    <w:rsid w:val="006D14CD"/>
    <w:rsid w:val="007118D6"/>
    <w:rsid w:val="00715AAC"/>
    <w:rsid w:val="00716A8A"/>
    <w:rsid w:val="00720E6C"/>
    <w:rsid w:val="00723CF6"/>
    <w:rsid w:val="00741CA7"/>
    <w:rsid w:val="00743157"/>
    <w:rsid w:val="00751239"/>
    <w:rsid w:val="007740ED"/>
    <w:rsid w:val="00790EC6"/>
    <w:rsid w:val="00791A55"/>
    <w:rsid w:val="0079732A"/>
    <w:rsid w:val="007A1F84"/>
    <w:rsid w:val="007A4355"/>
    <w:rsid w:val="007A5888"/>
    <w:rsid w:val="007A6421"/>
    <w:rsid w:val="007A6D22"/>
    <w:rsid w:val="007C582E"/>
    <w:rsid w:val="007D138A"/>
    <w:rsid w:val="007D5DE2"/>
    <w:rsid w:val="007D7150"/>
    <w:rsid w:val="007E1E77"/>
    <w:rsid w:val="007E3505"/>
    <w:rsid w:val="007E76E8"/>
    <w:rsid w:val="007F2441"/>
    <w:rsid w:val="007F630B"/>
    <w:rsid w:val="007F6472"/>
    <w:rsid w:val="007F6A22"/>
    <w:rsid w:val="00824536"/>
    <w:rsid w:val="00833E78"/>
    <w:rsid w:val="00847B82"/>
    <w:rsid w:val="00852EFB"/>
    <w:rsid w:val="008749D6"/>
    <w:rsid w:val="00882730"/>
    <w:rsid w:val="008872B8"/>
    <w:rsid w:val="00893A36"/>
    <w:rsid w:val="00894B4D"/>
    <w:rsid w:val="008A30D0"/>
    <w:rsid w:val="008A73A5"/>
    <w:rsid w:val="008B0C0D"/>
    <w:rsid w:val="008B61DC"/>
    <w:rsid w:val="008B7376"/>
    <w:rsid w:val="008C42B6"/>
    <w:rsid w:val="008D4E28"/>
    <w:rsid w:val="008E02A2"/>
    <w:rsid w:val="008F330F"/>
    <w:rsid w:val="00912EB8"/>
    <w:rsid w:val="00923866"/>
    <w:rsid w:val="00933433"/>
    <w:rsid w:val="00941045"/>
    <w:rsid w:val="00945285"/>
    <w:rsid w:val="00946261"/>
    <w:rsid w:val="00946969"/>
    <w:rsid w:val="009515F2"/>
    <w:rsid w:val="0095591C"/>
    <w:rsid w:val="009668DC"/>
    <w:rsid w:val="0096740C"/>
    <w:rsid w:val="009679FA"/>
    <w:rsid w:val="00974863"/>
    <w:rsid w:val="00982C60"/>
    <w:rsid w:val="00997758"/>
    <w:rsid w:val="00997F79"/>
    <w:rsid w:val="009A61FF"/>
    <w:rsid w:val="009B7012"/>
    <w:rsid w:val="009B76F2"/>
    <w:rsid w:val="009B7C54"/>
    <w:rsid w:val="009C5D0B"/>
    <w:rsid w:val="009C6922"/>
    <w:rsid w:val="009D0290"/>
    <w:rsid w:val="009E5AA2"/>
    <w:rsid w:val="009E6C2E"/>
    <w:rsid w:val="009F156D"/>
    <w:rsid w:val="009F32B5"/>
    <w:rsid w:val="009F6EE2"/>
    <w:rsid w:val="00A15480"/>
    <w:rsid w:val="00A17DB5"/>
    <w:rsid w:val="00A23D80"/>
    <w:rsid w:val="00A2691C"/>
    <w:rsid w:val="00A41305"/>
    <w:rsid w:val="00A50020"/>
    <w:rsid w:val="00A51A73"/>
    <w:rsid w:val="00A54FAF"/>
    <w:rsid w:val="00A57460"/>
    <w:rsid w:val="00A762FA"/>
    <w:rsid w:val="00AA3D95"/>
    <w:rsid w:val="00AB1689"/>
    <w:rsid w:val="00AC44A1"/>
    <w:rsid w:val="00AD26CD"/>
    <w:rsid w:val="00AE0250"/>
    <w:rsid w:val="00AF0CFF"/>
    <w:rsid w:val="00AF1E58"/>
    <w:rsid w:val="00B00476"/>
    <w:rsid w:val="00B030E4"/>
    <w:rsid w:val="00B100D1"/>
    <w:rsid w:val="00B11850"/>
    <w:rsid w:val="00B141E6"/>
    <w:rsid w:val="00B17BC2"/>
    <w:rsid w:val="00B24828"/>
    <w:rsid w:val="00B306D6"/>
    <w:rsid w:val="00B3408A"/>
    <w:rsid w:val="00B35BF8"/>
    <w:rsid w:val="00B42F02"/>
    <w:rsid w:val="00B46B5E"/>
    <w:rsid w:val="00B56EC4"/>
    <w:rsid w:val="00B57F86"/>
    <w:rsid w:val="00B70412"/>
    <w:rsid w:val="00B74852"/>
    <w:rsid w:val="00B758D7"/>
    <w:rsid w:val="00B84097"/>
    <w:rsid w:val="00B86FEE"/>
    <w:rsid w:val="00BA6900"/>
    <w:rsid w:val="00BC2E11"/>
    <w:rsid w:val="00BD1E47"/>
    <w:rsid w:val="00BD7C55"/>
    <w:rsid w:val="00BE7B4D"/>
    <w:rsid w:val="00BF1D2A"/>
    <w:rsid w:val="00C00129"/>
    <w:rsid w:val="00C04E7B"/>
    <w:rsid w:val="00C116CF"/>
    <w:rsid w:val="00C221CA"/>
    <w:rsid w:val="00C23E35"/>
    <w:rsid w:val="00C4051D"/>
    <w:rsid w:val="00C47FF6"/>
    <w:rsid w:val="00C50615"/>
    <w:rsid w:val="00C52DB9"/>
    <w:rsid w:val="00C53F7D"/>
    <w:rsid w:val="00C66A13"/>
    <w:rsid w:val="00C7387E"/>
    <w:rsid w:val="00C82E0E"/>
    <w:rsid w:val="00C83D7F"/>
    <w:rsid w:val="00CA5B06"/>
    <w:rsid w:val="00CB6FB5"/>
    <w:rsid w:val="00CC46BE"/>
    <w:rsid w:val="00CD68AE"/>
    <w:rsid w:val="00D040B4"/>
    <w:rsid w:val="00D05274"/>
    <w:rsid w:val="00D05455"/>
    <w:rsid w:val="00D05E0A"/>
    <w:rsid w:val="00D1021A"/>
    <w:rsid w:val="00D11D4B"/>
    <w:rsid w:val="00D328FE"/>
    <w:rsid w:val="00D3414F"/>
    <w:rsid w:val="00D474A3"/>
    <w:rsid w:val="00D62B5F"/>
    <w:rsid w:val="00D762CC"/>
    <w:rsid w:val="00D80253"/>
    <w:rsid w:val="00D80487"/>
    <w:rsid w:val="00D85ECE"/>
    <w:rsid w:val="00D870DE"/>
    <w:rsid w:val="00D8796F"/>
    <w:rsid w:val="00DA26D2"/>
    <w:rsid w:val="00DB1B0B"/>
    <w:rsid w:val="00DB695A"/>
    <w:rsid w:val="00DC0337"/>
    <w:rsid w:val="00DC0C75"/>
    <w:rsid w:val="00DC602C"/>
    <w:rsid w:val="00DC709C"/>
    <w:rsid w:val="00DD0D7C"/>
    <w:rsid w:val="00DF01F7"/>
    <w:rsid w:val="00E01E60"/>
    <w:rsid w:val="00E07A64"/>
    <w:rsid w:val="00E20DBA"/>
    <w:rsid w:val="00E21EAA"/>
    <w:rsid w:val="00E2253A"/>
    <w:rsid w:val="00E33769"/>
    <w:rsid w:val="00E40586"/>
    <w:rsid w:val="00E41D9A"/>
    <w:rsid w:val="00E42E33"/>
    <w:rsid w:val="00E4449A"/>
    <w:rsid w:val="00E5026F"/>
    <w:rsid w:val="00E63259"/>
    <w:rsid w:val="00E92570"/>
    <w:rsid w:val="00E96C28"/>
    <w:rsid w:val="00EB04ED"/>
    <w:rsid w:val="00EB40EC"/>
    <w:rsid w:val="00ED17F9"/>
    <w:rsid w:val="00EE0BF9"/>
    <w:rsid w:val="00EE2C28"/>
    <w:rsid w:val="00F05B10"/>
    <w:rsid w:val="00F05CB1"/>
    <w:rsid w:val="00F063DC"/>
    <w:rsid w:val="00F17939"/>
    <w:rsid w:val="00F25726"/>
    <w:rsid w:val="00F270D4"/>
    <w:rsid w:val="00F33585"/>
    <w:rsid w:val="00F34781"/>
    <w:rsid w:val="00F42ACD"/>
    <w:rsid w:val="00F5228A"/>
    <w:rsid w:val="00F53C4F"/>
    <w:rsid w:val="00F54B44"/>
    <w:rsid w:val="00F55FAF"/>
    <w:rsid w:val="00F61FC2"/>
    <w:rsid w:val="00F65AFF"/>
    <w:rsid w:val="00F70E71"/>
    <w:rsid w:val="00F72154"/>
    <w:rsid w:val="00FA5A70"/>
    <w:rsid w:val="00FB317A"/>
    <w:rsid w:val="00FC4B0D"/>
    <w:rsid w:val="00FC5BC6"/>
    <w:rsid w:val="00FD3FBC"/>
    <w:rsid w:val="00FD4C28"/>
    <w:rsid w:val="00FD76EF"/>
    <w:rsid w:val="00FE0FD7"/>
    <w:rsid w:val="00FE218E"/>
    <w:rsid w:val="00FE407D"/>
    <w:rsid w:val="00FF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FBE94"/>
  <w15:docId w15:val="{FA1B86DB-8C65-4F7F-B6A8-B462548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00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0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00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9F17-6ED8-4165-AC70-EEFAE38D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庄喻雯</cp:lastModifiedBy>
  <cp:revision>12</cp:revision>
  <dcterms:created xsi:type="dcterms:W3CDTF">2022-04-11T06:32:00Z</dcterms:created>
  <dcterms:modified xsi:type="dcterms:W3CDTF">2022-04-19T08:07:00Z</dcterms:modified>
</cp:coreProperties>
</file>