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E9" w:rsidRPr="00D71E7D" w:rsidRDefault="00A10BE9" w:rsidP="00A10BE9">
      <w:pPr>
        <w:spacing w:line="480" w:lineRule="exact"/>
        <w:rPr>
          <w:rFonts w:ascii="宋体" w:eastAsia="宋体" w:hAnsi="宋体"/>
          <w:sz w:val="24"/>
          <w:szCs w:val="24"/>
        </w:rPr>
      </w:pPr>
      <w:r w:rsidRPr="00D71E7D">
        <w:rPr>
          <w:rFonts w:ascii="宋体" w:eastAsia="宋体" w:hAnsi="宋体" w:hint="eastAsia"/>
          <w:sz w:val="24"/>
          <w:szCs w:val="24"/>
        </w:rPr>
        <w:t>证券代码：</w:t>
      </w:r>
      <w:r>
        <w:rPr>
          <w:rFonts w:ascii="宋体" w:eastAsia="宋体" w:hAnsi="宋体"/>
          <w:sz w:val="24"/>
          <w:szCs w:val="24"/>
        </w:rPr>
        <w:t xml:space="preserve">600283        </w:t>
      </w:r>
      <w:r w:rsidRPr="00D71E7D">
        <w:rPr>
          <w:rFonts w:ascii="宋体" w:eastAsia="宋体" w:hAnsi="宋体"/>
          <w:sz w:val="24"/>
          <w:szCs w:val="24"/>
        </w:rPr>
        <w:t>证券简称：钱江水利</w:t>
      </w:r>
      <w:r>
        <w:rPr>
          <w:rFonts w:ascii="宋体" w:eastAsia="宋体" w:hAnsi="宋体"/>
          <w:sz w:val="24"/>
          <w:szCs w:val="24"/>
        </w:rPr>
        <w:t xml:space="preserve">    </w:t>
      </w:r>
      <w:r w:rsidRPr="00D71E7D">
        <w:rPr>
          <w:rFonts w:ascii="宋体" w:eastAsia="宋体" w:hAnsi="宋体"/>
          <w:sz w:val="24"/>
          <w:szCs w:val="24"/>
        </w:rPr>
        <w:t>公告编号：临2022-0</w:t>
      </w:r>
      <w:r w:rsidR="006E0A07">
        <w:rPr>
          <w:rFonts w:ascii="宋体" w:eastAsia="宋体" w:hAnsi="宋体"/>
          <w:sz w:val="24"/>
          <w:szCs w:val="24"/>
        </w:rPr>
        <w:t>29</w:t>
      </w:r>
      <w:r>
        <w:rPr>
          <w:rFonts w:ascii="宋体" w:eastAsia="宋体" w:hAnsi="宋体"/>
          <w:sz w:val="24"/>
          <w:szCs w:val="24"/>
        </w:rPr>
        <w:t xml:space="preserve"> </w:t>
      </w:r>
    </w:p>
    <w:p w:rsidR="00A10BE9" w:rsidRDefault="00A10BE9" w:rsidP="00A10BE9">
      <w:pPr>
        <w:spacing w:line="480" w:lineRule="exact"/>
        <w:jc w:val="center"/>
        <w:rPr>
          <w:rFonts w:ascii="宋体" w:eastAsia="宋体" w:hAnsi="宋体"/>
          <w:color w:val="FF0000"/>
          <w:sz w:val="36"/>
          <w:szCs w:val="36"/>
        </w:rPr>
      </w:pPr>
    </w:p>
    <w:p w:rsidR="00A10BE9" w:rsidRPr="00D71E7D" w:rsidRDefault="00A10BE9" w:rsidP="00A10BE9">
      <w:pPr>
        <w:spacing w:line="480" w:lineRule="exact"/>
        <w:jc w:val="center"/>
        <w:rPr>
          <w:rFonts w:ascii="宋体" w:eastAsia="宋体" w:hAnsi="宋体"/>
          <w:color w:val="FF0000"/>
          <w:sz w:val="36"/>
          <w:szCs w:val="36"/>
        </w:rPr>
      </w:pPr>
      <w:r w:rsidRPr="00D71E7D">
        <w:rPr>
          <w:rFonts w:ascii="宋体" w:eastAsia="宋体" w:hAnsi="宋体" w:hint="eastAsia"/>
          <w:color w:val="FF0000"/>
          <w:sz w:val="36"/>
          <w:szCs w:val="36"/>
        </w:rPr>
        <w:t>钱江水利开发股份有限公司持股5%以上股东</w:t>
      </w:r>
    </w:p>
    <w:p w:rsidR="00A10BE9" w:rsidRPr="00D71E7D" w:rsidRDefault="00A10BE9" w:rsidP="00A10BE9">
      <w:pPr>
        <w:spacing w:line="480" w:lineRule="exact"/>
        <w:jc w:val="center"/>
        <w:rPr>
          <w:rFonts w:ascii="宋体" w:eastAsia="宋体" w:hAnsi="宋体"/>
          <w:sz w:val="36"/>
          <w:szCs w:val="36"/>
        </w:rPr>
      </w:pPr>
      <w:r w:rsidRPr="00D71E7D">
        <w:rPr>
          <w:rFonts w:ascii="宋体" w:eastAsia="宋体" w:hAnsi="宋体" w:hint="eastAsia"/>
          <w:color w:val="FF0000"/>
          <w:sz w:val="36"/>
          <w:szCs w:val="36"/>
        </w:rPr>
        <w:t>关于</w:t>
      </w:r>
      <w:proofErr w:type="gramStart"/>
      <w:r w:rsidRPr="00D71E7D">
        <w:rPr>
          <w:rFonts w:ascii="宋体" w:eastAsia="宋体" w:hAnsi="宋体" w:hint="eastAsia"/>
          <w:color w:val="FF0000"/>
          <w:sz w:val="36"/>
          <w:szCs w:val="36"/>
        </w:rPr>
        <w:t>减持</w:t>
      </w:r>
      <w:r>
        <w:rPr>
          <w:rFonts w:ascii="宋体" w:eastAsia="宋体" w:hAnsi="宋体" w:hint="eastAsia"/>
          <w:color w:val="FF0000"/>
          <w:sz w:val="36"/>
          <w:szCs w:val="36"/>
        </w:rPr>
        <w:t>达</w:t>
      </w:r>
      <w:proofErr w:type="gramEnd"/>
      <w:r>
        <w:rPr>
          <w:rFonts w:ascii="宋体" w:eastAsia="宋体" w:hAnsi="宋体" w:hint="eastAsia"/>
          <w:color w:val="FF0000"/>
          <w:sz w:val="36"/>
          <w:szCs w:val="36"/>
        </w:rPr>
        <w:t>5</w:t>
      </w:r>
      <w:r w:rsidRPr="00D71E7D">
        <w:rPr>
          <w:rFonts w:ascii="宋体" w:eastAsia="宋体" w:hAnsi="宋体"/>
          <w:color w:val="FF0000"/>
          <w:sz w:val="36"/>
          <w:szCs w:val="36"/>
        </w:rPr>
        <w:t>%</w:t>
      </w:r>
      <w:r w:rsidRPr="00D71E7D">
        <w:rPr>
          <w:rFonts w:ascii="宋体" w:eastAsia="宋体" w:hAnsi="宋体" w:hint="eastAsia"/>
          <w:color w:val="FF0000"/>
          <w:sz w:val="36"/>
          <w:szCs w:val="36"/>
        </w:rPr>
        <w:t>股份的</w:t>
      </w:r>
      <w:r w:rsidRPr="00D71E7D">
        <w:rPr>
          <w:rFonts w:ascii="宋体" w:eastAsia="宋体" w:hAnsi="宋体"/>
          <w:color w:val="FF0000"/>
          <w:sz w:val="36"/>
          <w:szCs w:val="36"/>
        </w:rPr>
        <w:t>提示性公告</w:t>
      </w:r>
    </w:p>
    <w:p w:rsidR="00A10BE9" w:rsidRPr="00B100F6" w:rsidRDefault="00A10BE9" w:rsidP="00A10BE9">
      <w:pPr>
        <w:spacing w:line="480" w:lineRule="exact"/>
        <w:ind w:firstLineChars="300" w:firstLine="720"/>
        <w:rPr>
          <w:rFonts w:ascii="宋体" w:eastAsia="宋体" w:hAnsi="宋体"/>
          <w:sz w:val="24"/>
          <w:szCs w:val="24"/>
        </w:rPr>
      </w:pPr>
      <w:r w:rsidRPr="00B100F6">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A10BE9" w:rsidRPr="00B100F6" w:rsidRDefault="00A10BE9" w:rsidP="00A10BE9">
      <w:pPr>
        <w:spacing w:line="480" w:lineRule="exact"/>
        <w:rPr>
          <w:rFonts w:ascii="宋体" w:eastAsia="宋体" w:hAnsi="宋体"/>
          <w:sz w:val="24"/>
          <w:szCs w:val="24"/>
        </w:rPr>
      </w:pPr>
      <w:r w:rsidRPr="00B100F6">
        <w:rPr>
          <w:rFonts w:ascii="宋体" w:eastAsia="宋体" w:hAnsi="宋体" w:hint="eastAsia"/>
          <w:sz w:val="24"/>
          <w:szCs w:val="24"/>
        </w:rPr>
        <w:t>重要内容提示：</w:t>
      </w:r>
    </w:p>
    <w:p w:rsidR="00A10BE9" w:rsidRPr="00B100F6" w:rsidRDefault="00A10BE9" w:rsidP="00A10BE9">
      <w:pPr>
        <w:spacing w:line="480" w:lineRule="exact"/>
        <w:ind w:firstLineChars="200" w:firstLine="480"/>
        <w:rPr>
          <w:rFonts w:ascii="宋体" w:eastAsia="宋体" w:hAnsi="宋体"/>
          <w:sz w:val="24"/>
          <w:szCs w:val="24"/>
        </w:rPr>
      </w:pPr>
      <w:r w:rsidRPr="00B100F6">
        <w:rPr>
          <w:rFonts w:ascii="宋体" w:eastAsia="宋体" w:hAnsi="宋体" w:hint="eastAsia"/>
          <w:sz w:val="24"/>
          <w:szCs w:val="24"/>
        </w:rPr>
        <w:t>●本次权益变动属于减持，不触及要约收购</w:t>
      </w:r>
      <w:r w:rsidR="00B51906">
        <w:rPr>
          <w:rFonts w:ascii="宋体" w:eastAsia="宋体" w:hAnsi="宋体" w:hint="eastAsia"/>
          <w:sz w:val="24"/>
          <w:szCs w:val="24"/>
        </w:rPr>
        <w:t>。</w:t>
      </w:r>
    </w:p>
    <w:p w:rsidR="00A10BE9" w:rsidRPr="00B100F6" w:rsidRDefault="00A10BE9" w:rsidP="00A10BE9">
      <w:pPr>
        <w:spacing w:line="480" w:lineRule="exact"/>
        <w:ind w:firstLineChars="200" w:firstLine="480"/>
        <w:rPr>
          <w:rFonts w:ascii="宋体" w:eastAsia="宋体" w:hAnsi="宋体"/>
          <w:sz w:val="24"/>
          <w:szCs w:val="24"/>
        </w:rPr>
      </w:pPr>
      <w:r w:rsidRPr="00B100F6">
        <w:rPr>
          <w:rFonts w:ascii="宋体" w:eastAsia="宋体" w:hAnsi="宋体" w:hint="eastAsia"/>
          <w:sz w:val="24"/>
          <w:szCs w:val="24"/>
        </w:rPr>
        <w:t>●本次权益变动为持股5%以上非第一大股东减持，不会使公司控股股东、实际控制人发生变化。</w:t>
      </w:r>
    </w:p>
    <w:p w:rsidR="00A10BE9" w:rsidRPr="00B100F6" w:rsidRDefault="00A10BE9" w:rsidP="00A10BE9">
      <w:pPr>
        <w:spacing w:line="480" w:lineRule="exact"/>
        <w:ind w:firstLineChars="200" w:firstLine="480"/>
        <w:rPr>
          <w:rFonts w:ascii="宋体" w:eastAsia="宋体" w:hAnsi="宋体"/>
          <w:sz w:val="24"/>
          <w:szCs w:val="24"/>
        </w:rPr>
      </w:pPr>
      <w:r w:rsidRPr="00B100F6">
        <w:rPr>
          <w:rFonts w:ascii="宋体" w:eastAsia="宋体" w:hAnsi="宋体" w:hint="eastAsia"/>
          <w:sz w:val="24"/>
          <w:szCs w:val="24"/>
        </w:rPr>
        <w:t>●</w:t>
      </w:r>
      <w:r w:rsidRPr="00B100F6">
        <w:rPr>
          <w:rFonts w:ascii="宋体" w:eastAsia="宋体" w:hAnsi="宋体"/>
          <w:sz w:val="24"/>
          <w:szCs w:val="24"/>
        </w:rPr>
        <w:t>本次权益变动后，信息披露义务人持有公司股份比例将从</w:t>
      </w:r>
      <w:r w:rsidR="00A61750" w:rsidRPr="00B100F6">
        <w:rPr>
          <w:rFonts w:ascii="宋体" w:eastAsia="宋体" w:hAnsi="宋体"/>
          <w:sz w:val="24"/>
          <w:szCs w:val="24"/>
        </w:rPr>
        <w:t>25</w:t>
      </w:r>
      <w:r w:rsidR="00A61750" w:rsidRPr="00B100F6">
        <w:rPr>
          <w:rFonts w:ascii="宋体" w:eastAsia="宋体" w:hAnsi="宋体" w:hint="eastAsia"/>
          <w:sz w:val="24"/>
          <w:szCs w:val="24"/>
        </w:rPr>
        <w:t>.</w:t>
      </w:r>
      <w:r w:rsidR="00A61750" w:rsidRPr="00B100F6">
        <w:rPr>
          <w:rFonts w:ascii="宋体" w:eastAsia="宋体" w:hAnsi="宋体"/>
          <w:sz w:val="24"/>
          <w:szCs w:val="24"/>
        </w:rPr>
        <w:t>44</w:t>
      </w:r>
      <w:r w:rsidRPr="00B100F6">
        <w:rPr>
          <w:rFonts w:ascii="宋体" w:eastAsia="宋体" w:hAnsi="宋体"/>
          <w:sz w:val="24"/>
          <w:szCs w:val="24"/>
        </w:rPr>
        <w:t>%下降至</w:t>
      </w:r>
      <w:r w:rsidR="00791FEA">
        <w:rPr>
          <w:rFonts w:ascii="宋体" w:eastAsia="宋体" w:hAnsi="宋体" w:hint="eastAsia"/>
          <w:sz w:val="24"/>
          <w:szCs w:val="24"/>
        </w:rPr>
        <w:t>2</w:t>
      </w:r>
      <w:r w:rsidR="00791FEA">
        <w:rPr>
          <w:rFonts w:ascii="宋体" w:eastAsia="宋体" w:hAnsi="宋体"/>
          <w:sz w:val="24"/>
          <w:szCs w:val="24"/>
        </w:rPr>
        <w:t>0.44004</w:t>
      </w:r>
      <w:r w:rsidRPr="00B100F6">
        <w:rPr>
          <w:rFonts w:ascii="宋体" w:eastAsia="宋体" w:hAnsi="宋体"/>
          <w:sz w:val="24"/>
          <w:szCs w:val="24"/>
        </w:rPr>
        <w:t xml:space="preserve">%。 </w:t>
      </w:r>
    </w:p>
    <w:p w:rsidR="004826AB" w:rsidRPr="00B100F6" w:rsidRDefault="004826AB" w:rsidP="004826AB">
      <w:pPr>
        <w:spacing w:line="480" w:lineRule="exact"/>
        <w:ind w:firstLineChars="200" w:firstLine="480"/>
        <w:rPr>
          <w:rFonts w:ascii="宋体" w:eastAsia="宋体" w:hAnsi="宋体"/>
          <w:sz w:val="24"/>
          <w:szCs w:val="24"/>
        </w:rPr>
      </w:pPr>
      <w:r w:rsidRPr="00B100F6">
        <w:rPr>
          <w:rFonts w:ascii="宋体" w:eastAsia="宋体" w:hAnsi="宋体"/>
          <w:sz w:val="24"/>
          <w:szCs w:val="24"/>
        </w:rPr>
        <w:t xml:space="preserve"> </w:t>
      </w:r>
      <w:r w:rsidRPr="00B100F6">
        <w:rPr>
          <w:rFonts w:ascii="宋体" w:eastAsia="宋体" w:hAnsi="宋体" w:hint="eastAsia"/>
          <w:sz w:val="24"/>
          <w:szCs w:val="24"/>
        </w:rPr>
        <w:t>钱江水利开发股份有限公司（以下简称“钱江水利”、“公司”）</w:t>
      </w:r>
      <w:r w:rsidRPr="00B100F6">
        <w:rPr>
          <w:rFonts w:ascii="宋体" w:eastAsia="宋体" w:hAnsi="宋体"/>
          <w:sz w:val="24"/>
          <w:szCs w:val="24"/>
        </w:rPr>
        <w:t xml:space="preserve">于 2022 </w:t>
      </w:r>
      <w:r w:rsidRPr="00B100F6">
        <w:rPr>
          <w:rFonts w:ascii="宋体" w:eastAsia="宋体" w:hAnsi="宋体" w:hint="eastAsia"/>
          <w:sz w:val="24"/>
          <w:szCs w:val="24"/>
        </w:rPr>
        <w:t>年</w:t>
      </w:r>
      <w:r w:rsidRPr="00B100F6">
        <w:rPr>
          <w:rFonts w:ascii="宋体" w:eastAsia="宋体" w:hAnsi="宋体"/>
          <w:sz w:val="24"/>
          <w:szCs w:val="24"/>
        </w:rPr>
        <w:t>6月</w:t>
      </w:r>
      <w:r w:rsidR="008A5835">
        <w:rPr>
          <w:rFonts w:ascii="宋体" w:eastAsia="宋体" w:hAnsi="宋体"/>
          <w:sz w:val="24"/>
          <w:szCs w:val="24"/>
        </w:rPr>
        <w:t>20</w:t>
      </w:r>
      <w:r w:rsidRPr="00B100F6">
        <w:rPr>
          <w:rFonts w:ascii="宋体" w:eastAsia="宋体" w:hAnsi="宋体"/>
          <w:sz w:val="24"/>
          <w:szCs w:val="24"/>
        </w:rPr>
        <w:t>日收到公司</w:t>
      </w:r>
      <w:r w:rsidRPr="00B100F6">
        <w:rPr>
          <w:rFonts w:ascii="宋体" w:eastAsia="宋体" w:hAnsi="宋体" w:hint="eastAsia"/>
          <w:sz w:val="24"/>
          <w:szCs w:val="24"/>
        </w:rPr>
        <w:t>5</w:t>
      </w:r>
      <w:r w:rsidRPr="00B100F6">
        <w:rPr>
          <w:rFonts w:ascii="宋体" w:eastAsia="宋体" w:hAnsi="宋体"/>
          <w:sz w:val="24"/>
          <w:szCs w:val="24"/>
        </w:rPr>
        <w:t>%</w:t>
      </w:r>
      <w:r w:rsidRPr="00B100F6">
        <w:rPr>
          <w:rFonts w:ascii="宋体" w:eastAsia="宋体" w:hAnsi="宋体" w:hint="eastAsia"/>
          <w:sz w:val="24"/>
          <w:szCs w:val="24"/>
        </w:rPr>
        <w:t>以上</w:t>
      </w:r>
      <w:r w:rsidRPr="00B100F6">
        <w:rPr>
          <w:rFonts w:ascii="宋体" w:eastAsia="宋体" w:hAnsi="宋体"/>
          <w:sz w:val="24"/>
          <w:szCs w:val="24"/>
        </w:rPr>
        <w:t>股东</w:t>
      </w:r>
      <w:r w:rsidRPr="00B100F6">
        <w:rPr>
          <w:rFonts w:ascii="宋体" w:eastAsia="宋体" w:hAnsi="宋体" w:hint="eastAsia"/>
          <w:sz w:val="24"/>
          <w:szCs w:val="24"/>
        </w:rPr>
        <w:t>浙江省新能源投资集团股份有限公司（</w:t>
      </w:r>
      <w:r w:rsidRPr="00B100F6">
        <w:rPr>
          <w:rFonts w:ascii="宋体" w:eastAsia="宋体" w:hAnsi="宋体"/>
          <w:sz w:val="24"/>
          <w:szCs w:val="24"/>
        </w:rPr>
        <w:t>以下简称“</w:t>
      </w:r>
      <w:r w:rsidRPr="00B100F6">
        <w:rPr>
          <w:rFonts w:ascii="宋体" w:eastAsia="宋体" w:hAnsi="宋体" w:hint="eastAsia"/>
          <w:sz w:val="24"/>
          <w:szCs w:val="24"/>
        </w:rPr>
        <w:t>浙江新能</w:t>
      </w:r>
      <w:r w:rsidRPr="00B100F6">
        <w:rPr>
          <w:rFonts w:ascii="宋体" w:eastAsia="宋体" w:hAnsi="宋体"/>
          <w:sz w:val="24"/>
          <w:szCs w:val="24"/>
        </w:rPr>
        <w:t>”）发来的</w:t>
      </w:r>
      <w:r w:rsidRPr="00B100F6">
        <w:rPr>
          <w:rFonts w:ascii="宋体" w:eastAsia="宋体" w:hAnsi="宋体" w:hint="eastAsia"/>
          <w:sz w:val="24"/>
          <w:szCs w:val="24"/>
        </w:rPr>
        <w:t>《简式权益变动报告书》</w:t>
      </w:r>
      <w:r w:rsidRPr="00B100F6">
        <w:rPr>
          <w:rFonts w:ascii="宋体" w:eastAsia="宋体" w:hAnsi="宋体"/>
          <w:sz w:val="24"/>
          <w:szCs w:val="24"/>
        </w:rPr>
        <w:t>，现将有关权益变动的具体情况公告如下：</w:t>
      </w:r>
    </w:p>
    <w:p w:rsidR="00FB09BE" w:rsidRPr="00B100F6" w:rsidRDefault="00FB09BE" w:rsidP="00FB09BE">
      <w:pPr>
        <w:pStyle w:val="a3"/>
        <w:numPr>
          <w:ilvl w:val="0"/>
          <w:numId w:val="1"/>
        </w:numPr>
        <w:spacing w:line="480" w:lineRule="exact"/>
        <w:ind w:firstLineChars="0"/>
        <w:rPr>
          <w:rFonts w:ascii="宋体" w:eastAsia="宋体" w:hAnsi="宋体"/>
          <w:sz w:val="24"/>
          <w:szCs w:val="24"/>
        </w:rPr>
      </w:pPr>
      <w:r w:rsidRPr="00B100F6">
        <w:rPr>
          <w:rFonts w:ascii="宋体" w:eastAsia="宋体" w:hAnsi="宋体" w:hint="eastAsia"/>
          <w:sz w:val="24"/>
          <w:szCs w:val="24"/>
        </w:rPr>
        <w:t>本次权益变动情况</w:t>
      </w:r>
    </w:p>
    <w:p w:rsidR="00D1337C" w:rsidRPr="00B100F6" w:rsidRDefault="003B32B7" w:rsidP="003B32B7">
      <w:pPr>
        <w:pStyle w:val="a3"/>
        <w:numPr>
          <w:ilvl w:val="0"/>
          <w:numId w:val="2"/>
        </w:numPr>
        <w:ind w:firstLineChars="0"/>
        <w:rPr>
          <w:rFonts w:ascii="宋体" w:eastAsia="宋体" w:hAnsi="宋体"/>
          <w:sz w:val="24"/>
          <w:szCs w:val="24"/>
        </w:rPr>
      </w:pPr>
      <w:r w:rsidRPr="00B100F6">
        <w:rPr>
          <w:rFonts w:ascii="宋体" w:eastAsia="宋体" w:hAnsi="宋体" w:hint="eastAsia"/>
          <w:sz w:val="24"/>
          <w:szCs w:val="24"/>
        </w:rPr>
        <w:t>信息披露义务人</w:t>
      </w:r>
    </w:p>
    <w:tbl>
      <w:tblPr>
        <w:tblStyle w:val="a4"/>
        <w:tblW w:w="0" w:type="auto"/>
        <w:tblInd w:w="-5" w:type="dxa"/>
        <w:tblLook w:val="04A0" w:firstRow="1" w:lastRow="0" w:firstColumn="1" w:lastColumn="0" w:noHBand="0" w:noVBand="1"/>
      </w:tblPr>
      <w:tblGrid>
        <w:gridCol w:w="2552"/>
        <w:gridCol w:w="5749"/>
      </w:tblGrid>
      <w:tr w:rsidR="00791FEA" w:rsidRPr="00B100F6" w:rsidTr="00B100F6">
        <w:tc>
          <w:tcPr>
            <w:tcW w:w="2552" w:type="dxa"/>
          </w:tcPr>
          <w:p w:rsidR="00791FEA" w:rsidRPr="00D3314E" w:rsidRDefault="00791FEA" w:rsidP="00791FEA">
            <w:r w:rsidRPr="00D3314E">
              <w:rPr>
                <w:rFonts w:hint="eastAsia"/>
              </w:rPr>
              <w:t>企业名称</w:t>
            </w:r>
          </w:p>
        </w:tc>
        <w:tc>
          <w:tcPr>
            <w:tcW w:w="5749" w:type="dxa"/>
          </w:tcPr>
          <w:p w:rsidR="00791FEA" w:rsidRPr="00D3314E" w:rsidRDefault="00791FEA" w:rsidP="00791FEA">
            <w:r w:rsidRPr="00D3314E">
              <w:t>浙江省新能源投资集团股份有限公司</w:t>
            </w:r>
          </w:p>
        </w:tc>
      </w:tr>
      <w:tr w:rsidR="00791FEA" w:rsidRPr="00B100F6" w:rsidTr="00B100F6">
        <w:tc>
          <w:tcPr>
            <w:tcW w:w="2552" w:type="dxa"/>
          </w:tcPr>
          <w:p w:rsidR="00791FEA" w:rsidRPr="00D3314E" w:rsidRDefault="00791FEA" w:rsidP="00791FEA">
            <w:r w:rsidRPr="00D3314E">
              <w:rPr>
                <w:rFonts w:hint="eastAsia"/>
              </w:rPr>
              <w:t>统一社会信用代码</w:t>
            </w:r>
          </w:p>
        </w:tc>
        <w:tc>
          <w:tcPr>
            <w:tcW w:w="5749" w:type="dxa"/>
          </w:tcPr>
          <w:p w:rsidR="00791FEA" w:rsidRPr="00D3314E" w:rsidRDefault="00791FEA" w:rsidP="00791FEA">
            <w:proofErr w:type="spellStart"/>
            <w:r w:rsidRPr="00D3314E">
              <w:t>9133000074200262XL</w:t>
            </w:r>
            <w:proofErr w:type="spellEnd"/>
          </w:p>
        </w:tc>
      </w:tr>
      <w:tr w:rsidR="00791FEA" w:rsidRPr="00B100F6" w:rsidTr="00B100F6">
        <w:tc>
          <w:tcPr>
            <w:tcW w:w="2552" w:type="dxa"/>
          </w:tcPr>
          <w:p w:rsidR="00791FEA" w:rsidRPr="00D3314E" w:rsidRDefault="00791FEA" w:rsidP="00791FEA">
            <w:r w:rsidRPr="00D3314E">
              <w:rPr>
                <w:rFonts w:hint="eastAsia"/>
              </w:rPr>
              <w:t>企业类型</w:t>
            </w:r>
          </w:p>
        </w:tc>
        <w:tc>
          <w:tcPr>
            <w:tcW w:w="5749" w:type="dxa"/>
          </w:tcPr>
          <w:p w:rsidR="00791FEA" w:rsidRPr="00D3314E" w:rsidRDefault="00791FEA" w:rsidP="00791FEA">
            <w:r w:rsidRPr="00D3314E">
              <w:t>其他股份有限公司（上市）</w:t>
            </w:r>
          </w:p>
        </w:tc>
      </w:tr>
      <w:tr w:rsidR="00791FEA" w:rsidRPr="00B100F6" w:rsidTr="00B100F6">
        <w:tc>
          <w:tcPr>
            <w:tcW w:w="2552" w:type="dxa"/>
          </w:tcPr>
          <w:p w:rsidR="00791FEA" w:rsidRPr="00D3314E" w:rsidRDefault="00791FEA" w:rsidP="00791FEA">
            <w:r w:rsidRPr="00D3314E">
              <w:rPr>
                <w:rFonts w:hint="eastAsia"/>
              </w:rPr>
              <w:t>成立日期</w:t>
            </w:r>
          </w:p>
        </w:tc>
        <w:tc>
          <w:tcPr>
            <w:tcW w:w="5749" w:type="dxa"/>
          </w:tcPr>
          <w:p w:rsidR="00791FEA" w:rsidRPr="00D3314E" w:rsidRDefault="00791FEA" w:rsidP="00791FEA">
            <w:r w:rsidRPr="00D3314E">
              <w:t>2002年8月1日</w:t>
            </w:r>
          </w:p>
        </w:tc>
      </w:tr>
      <w:tr w:rsidR="00791FEA" w:rsidRPr="00B100F6" w:rsidTr="00B100F6">
        <w:tc>
          <w:tcPr>
            <w:tcW w:w="2552" w:type="dxa"/>
          </w:tcPr>
          <w:p w:rsidR="00791FEA" w:rsidRPr="00D3314E" w:rsidRDefault="00791FEA" w:rsidP="00791FEA">
            <w:r w:rsidRPr="00D3314E">
              <w:rPr>
                <w:rFonts w:hint="eastAsia"/>
              </w:rPr>
              <w:t>注册地址</w:t>
            </w:r>
            <w:r w:rsidRPr="00D3314E">
              <w:t>/通讯地址</w:t>
            </w:r>
          </w:p>
        </w:tc>
        <w:tc>
          <w:tcPr>
            <w:tcW w:w="5749" w:type="dxa"/>
          </w:tcPr>
          <w:p w:rsidR="00791FEA" w:rsidRPr="00D3314E" w:rsidRDefault="00791FEA" w:rsidP="00791FEA">
            <w:r w:rsidRPr="00D3314E">
              <w:t>浙江省杭州市上城区凯旋街道凤起东路8号</w:t>
            </w:r>
          </w:p>
        </w:tc>
      </w:tr>
      <w:tr w:rsidR="00791FEA" w:rsidRPr="00B100F6" w:rsidTr="00B100F6">
        <w:tc>
          <w:tcPr>
            <w:tcW w:w="2552" w:type="dxa"/>
          </w:tcPr>
          <w:p w:rsidR="00791FEA" w:rsidRPr="00D3314E" w:rsidRDefault="00791FEA" w:rsidP="00791FEA">
            <w:r w:rsidRPr="00D3314E">
              <w:rPr>
                <w:rFonts w:hint="eastAsia"/>
              </w:rPr>
              <w:t>法定代表人</w:t>
            </w:r>
          </w:p>
        </w:tc>
        <w:tc>
          <w:tcPr>
            <w:tcW w:w="5749" w:type="dxa"/>
          </w:tcPr>
          <w:p w:rsidR="00791FEA" w:rsidRPr="00D3314E" w:rsidRDefault="00791FEA" w:rsidP="00791FEA">
            <w:r w:rsidRPr="00D3314E">
              <w:t>吴荣辉</w:t>
            </w:r>
          </w:p>
        </w:tc>
      </w:tr>
      <w:tr w:rsidR="00791FEA" w:rsidRPr="00B100F6" w:rsidTr="00B100F6">
        <w:tc>
          <w:tcPr>
            <w:tcW w:w="2552" w:type="dxa"/>
          </w:tcPr>
          <w:p w:rsidR="00791FEA" w:rsidRPr="00D3314E" w:rsidRDefault="00791FEA" w:rsidP="00791FEA">
            <w:r w:rsidRPr="00D3314E">
              <w:rPr>
                <w:rFonts w:hint="eastAsia"/>
              </w:rPr>
              <w:t>注册资本</w:t>
            </w:r>
          </w:p>
        </w:tc>
        <w:tc>
          <w:tcPr>
            <w:tcW w:w="5749" w:type="dxa"/>
          </w:tcPr>
          <w:p w:rsidR="00791FEA" w:rsidRPr="00D3314E" w:rsidRDefault="00791FEA" w:rsidP="00791FEA">
            <w:r w:rsidRPr="00D3314E">
              <w:t>208,000万元</w:t>
            </w:r>
          </w:p>
        </w:tc>
      </w:tr>
      <w:tr w:rsidR="00791FEA" w:rsidRPr="00B100F6" w:rsidTr="00B100F6">
        <w:tc>
          <w:tcPr>
            <w:tcW w:w="2552" w:type="dxa"/>
          </w:tcPr>
          <w:p w:rsidR="00791FEA" w:rsidRPr="00D3314E" w:rsidRDefault="00791FEA" w:rsidP="00791FEA">
            <w:r w:rsidRPr="00D3314E">
              <w:rPr>
                <w:rFonts w:hint="eastAsia"/>
              </w:rPr>
              <w:t>营业期限</w:t>
            </w:r>
          </w:p>
        </w:tc>
        <w:tc>
          <w:tcPr>
            <w:tcW w:w="5749" w:type="dxa"/>
          </w:tcPr>
          <w:p w:rsidR="00791FEA" w:rsidRPr="00D3314E" w:rsidRDefault="00791FEA" w:rsidP="00791FEA">
            <w:r w:rsidRPr="00D3314E">
              <w:t>2002年8月1日至长期</w:t>
            </w:r>
          </w:p>
        </w:tc>
      </w:tr>
      <w:tr w:rsidR="00791FEA" w:rsidRPr="00B100F6" w:rsidTr="00B100F6">
        <w:tc>
          <w:tcPr>
            <w:tcW w:w="2552" w:type="dxa"/>
          </w:tcPr>
          <w:p w:rsidR="00791FEA" w:rsidRPr="00D3314E" w:rsidRDefault="00791FEA" w:rsidP="00791FEA">
            <w:r w:rsidRPr="00D3314E">
              <w:rPr>
                <w:rFonts w:hint="eastAsia"/>
              </w:rPr>
              <w:t>经营范围</w:t>
            </w:r>
          </w:p>
        </w:tc>
        <w:tc>
          <w:tcPr>
            <w:tcW w:w="5749" w:type="dxa"/>
          </w:tcPr>
          <w:p w:rsidR="00791FEA" w:rsidRPr="00D3314E" w:rsidRDefault="00791FEA" w:rsidP="00791FEA">
            <w:r w:rsidRPr="00D3314E">
              <w:t>实业投资，风力发电、水力发电、太阳能发电的开发、运营，工程项目管理，天然水收集和分配，可再生能源技术的技术开发、技术咨询、技术服务，设备维修，检测技术服务（凭许可证经营），供水服务，供电服务（凭许可证经营）。（依法须经批准的项目，经相关部门批准后方可开展经营活动）</w:t>
            </w:r>
          </w:p>
        </w:tc>
      </w:tr>
      <w:tr w:rsidR="00791FEA" w:rsidRPr="00B100F6" w:rsidTr="00B100F6">
        <w:tc>
          <w:tcPr>
            <w:tcW w:w="2552" w:type="dxa"/>
          </w:tcPr>
          <w:p w:rsidR="00791FEA" w:rsidRPr="00D3314E" w:rsidRDefault="00791FEA" w:rsidP="00791FEA">
            <w:r w:rsidRPr="00D3314E">
              <w:rPr>
                <w:rFonts w:hint="eastAsia"/>
              </w:rPr>
              <w:t>股东情况</w:t>
            </w:r>
          </w:p>
        </w:tc>
        <w:tc>
          <w:tcPr>
            <w:tcW w:w="5749" w:type="dxa"/>
          </w:tcPr>
          <w:p w:rsidR="00791FEA" w:rsidRDefault="00791FEA" w:rsidP="00791FEA">
            <w:proofErr w:type="gramStart"/>
            <w:r w:rsidRPr="00D3314E">
              <w:t>浙能集团</w:t>
            </w:r>
            <w:proofErr w:type="gramEnd"/>
            <w:r w:rsidRPr="00D3314E">
              <w:t>持股69.23%</w:t>
            </w:r>
          </w:p>
          <w:p w:rsidR="00791FEA" w:rsidRDefault="00791FEA" w:rsidP="00791FEA">
            <w:r w:rsidRPr="00791FEA">
              <w:rPr>
                <w:rFonts w:hint="eastAsia"/>
              </w:rPr>
              <w:t>新能发展持股</w:t>
            </w:r>
            <w:r w:rsidRPr="00791FEA">
              <w:t>20.77%</w:t>
            </w:r>
          </w:p>
          <w:p w:rsidR="00791FEA" w:rsidRPr="00D3314E" w:rsidRDefault="00791FEA" w:rsidP="00791FEA">
            <w:r w:rsidRPr="00791FEA">
              <w:rPr>
                <w:rFonts w:hint="eastAsia"/>
              </w:rPr>
              <w:t>其他</w:t>
            </w:r>
            <w:r w:rsidRPr="00791FEA">
              <w:t>A股股东持股10%</w:t>
            </w:r>
          </w:p>
        </w:tc>
      </w:tr>
      <w:tr w:rsidR="00791FEA" w:rsidRPr="00B100F6" w:rsidTr="00B100F6">
        <w:tc>
          <w:tcPr>
            <w:tcW w:w="2552" w:type="dxa"/>
          </w:tcPr>
          <w:p w:rsidR="00791FEA" w:rsidRPr="00D3314E" w:rsidRDefault="00791FEA" w:rsidP="00791FEA">
            <w:r w:rsidRPr="00791FEA">
              <w:rPr>
                <w:rFonts w:hint="eastAsia"/>
              </w:rPr>
              <w:t>通讯方式</w:t>
            </w:r>
            <w:r w:rsidRPr="00791FEA">
              <w:tab/>
            </w:r>
          </w:p>
        </w:tc>
        <w:tc>
          <w:tcPr>
            <w:tcW w:w="5749" w:type="dxa"/>
          </w:tcPr>
          <w:p w:rsidR="00791FEA" w:rsidRPr="00D3314E" w:rsidRDefault="00791FEA" w:rsidP="00791FEA">
            <w:r w:rsidRPr="00791FEA">
              <w:t>0571-86664353</w:t>
            </w:r>
          </w:p>
        </w:tc>
      </w:tr>
    </w:tbl>
    <w:p w:rsidR="003B32B7" w:rsidRPr="00B100F6" w:rsidRDefault="003B32B7" w:rsidP="003B32B7">
      <w:pPr>
        <w:pStyle w:val="a3"/>
        <w:ind w:left="930" w:firstLineChars="0" w:firstLine="0"/>
        <w:rPr>
          <w:rFonts w:ascii="宋体" w:eastAsia="宋体" w:hAnsi="宋体"/>
          <w:sz w:val="24"/>
          <w:szCs w:val="24"/>
        </w:rPr>
      </w:pPr>
    </w:p>
    <w:p w:rsidR="00E84832" w:rsidRPr="00B100F6" w:rsidRDefault="00E84832" w:rsidP="00E84832">
      <w:pPr>
        <w:pStyle w:val="a3"/>
        <w:numPr>
          <w:ilvl w:val="0"/>
          <w:numId w:val="2"/>
        </w:numPr>
        <w:ind w:firstLineChars="0"/>
        <w:rPr>
          <w:rFonts w:ascii="宋体" w:eastAsia="宋体" w:hAnsi="宋体"/>
          <w:sz w:val="24"/>
          <w:szCs w:val="24"/>
        </w:rPr>
      </w:pPr>
      <w:r w:rsidRPr="00B100F6">
        <w:rPr>
          <w:rFonts w:ascii="宋体" w:eastAsia="宋体" w:hAnsi="宋体" w:hint="eastAsia"/>
          <w:sz w:val="24"/>
          <w:szCs w:val="24"/>
        </w:rPr>
        <w:t>本次权益变动情况</w:t>
      </w:r>
    </w:p>
    <w:p w:rsidR="00E84832" w:rsidRPr="00B100F6" w:rsidRDefault="00E84832" w:rsidP="00B100F6">
      <w:pPr>
        <w:ind w:left="210" w:firstLineChars="200" w:firstLine="480"/>
        <w:rPr>
          <w:rFonts w:ascii="宋体" w:eastAsia="宋体" w:hAnsi="宋体"/>
          <w:sz w:val="24"/>
          <w:szCs w:val="24"/>
        </w:rPr>
      </w:pPr>
      <w:r w:rsidRPr="00B100F6">
        <w:rPr>
          <w:rFonts w:ascii="宋体" w:eastAsia="宋体" w:hAnsi="宋体" w:hint="eastAsia"/>
          <w:sz w:val="24"/>
          <w:szCs w:val="24"/>
        </w:rPr>
        <w:t>本次权益变动期间，信息披露义务人浙江新能通过集中竞价方式减持其所持有的公司股份，具体变动情况如下：</w:t>
      </w:r>
    </w:p>
    <w:tbl>
      <w:tblPr>
        <w:tblStyle w:val="a4"/>
        <w:tblW w:w="0" w:type="auto"/>
        <w:tblInd w:w="-5" w:type="dxa"/>
        <w:tblLook w:val="04A0" w:firstRow="1" w:lastRow="0" w:firstColumn="1" w:lastColumn="0" w:noHBand="0" w:noVBand="1"/>
      </w:tblPr>
      <w:tblGrid>
        <w:gridCol w:w="2094"/>
        <w:gridCol w:w="1188"/>
        <w:gridCol w:w="1201"/>
        <w:gridCol w:w="1269"/>
        <w:gridCol w:w="1493"/>
        <w:gridCol w:w="1056"/>
      </w:tblGrid>
      <w:tr w:rsidR="00E84832" w:rsidRPr="00B100F6" w:rsidTr="008A5835">
        <w:tc>
          <w:tcPr>
            <w:tcW w:w="2148" w:type="dxa"/>
          </w:tcPr>
          <w:p w:rsidR="00E84832" w:rsidRPr="00B100F6" w:rsidRDefault="00E84832" w:rsidP="00E84832">
            <w:pPr>
              <w:pStyle w:val="a3"/>
              <w:ind w:firstLineChars="0" w:firstLine="0"/>
              <w:rPr>
                <w:rFonts w:ascii="宋体" w:eastAsia="宋体" w:hAnsi="宋体"/>
                <w:sz w:val="24"/>
                <w:szCs w:val="24"/>
              </w:rPr>
            </w:pPr>
            <w:r w:rsidRPr="00B100F6">
              <w:rPr>
                <w:rFonts w:ascii="宋体" w:eastAsia="宋体" w:hAnsi="宋体" w:hint="eastAsia"/>
                <w:sz w:val="24"/>
                <w:szCs w:val="24"/>
              </w:rPr>
              <w:t>股东名称</w:t>
            </w:r>
          </w:p>
        </w:tc>
        <w:tc>
          <w:tcPr>
            <w:tcW w:w="1213" w:type="dxa"/>
          </w:tcPr>
          <w:p w:rsidR="00E84832" w:rsidRPr="00B100F6" w:rsidRDefault="00E84832" w:rsidP="00E84832">
            <w:pPr>
              <w:rPr>
                <w:rFonts w:ascii="宋体" w:eastAsia="宋体" w:hAnsi="宋体"/>
                <w:sz w:val="24"/>
                <w:szCs w:val="24"/>
              </w:rPr>
            </w:pPr>
            <w:r w:rsidRPr="00B100F6">
              <w:rPr>
                <w:rFonts w:ascii="宋体" w:eastAsia="宋体" w:hAnsi="宋体" w:hint="eastAsia"/>
                <w:sz w:val="24"/>
                <w:szCs w:val="24"/>
              </w:rPr>
              <w:t>变动方式</w:t>
            </w:r>
          </w:p>
        </w:tc>
        <w:tc>
          <w:tcPr>
            <w:tcW w:w="1218" w:type="dxa"/>
          </w:tcPr>
          <w:p w:rsidR="00E84832" w:rsidRPr="00B100F6" w:rsidRDefault="00E84832" w:rsidP="00E84832">
            <w:pPr>
              <w:rPr>
                <w:rFonts w:ascii="宋体" w:eastAsia="宋体" w:hAnsi="宋体"/>
                <w:sz w:val="24"/>
                <w:szCs w:val="24"/>
              </w:rPr>
            </w:pPr>
            <w:r w:rsidRPr="00B100F6">
              <w:rPr>
                <w:rFonts w:ascii="宋体" w:eastAsia="宋体" w:hAnsi="宋体"/>
                <w:sz w:val="24"/>
                <w:szCs w:val="24"/>
              </w:rPr>
              <w:t>变动日期</w:t>
            </w:r>
          </w:p>
        </w:tc>
        <w:tc>
          <w:tcPr>
            <w:tcW w:w="1296" w:type="dxa"/>
          </w:tcPr>
          <w:p w:rsidR="00E84832" w:rsidRPr="00B100F6" w:rsidRDefault="00791FEA" w:rsidP="00E84832">
            <w:pPr>
              <w:rPr>
                <w:rFonts w:ascii="宋体" w:eastAsia="宋体" w:hAnsi="宋体"/>
                <w:sz w:val="24"/>
                <w:szCs w:val="24"/>
              </w:rPr>
            </w:pPr>
            <w:r>
              <w:rPr>
                <w:rFonts w:ascii="宋体" w:eastAsia="宋体" w:hAnsi="宋体"/>
                <w:sz w:val="24"/>
                <w:szCs w:val="24"/>
              </w:rPr>
              <w:t>股份</w:t>
            </w:r>
            <w:r>
              <w:rPr>
                <w:rFonts w:ascii="宋体" w:eastAsia="宋体" w:hAnsi="宋体" w:hint="eastAsia"/>
                <w:sz w:val="24"/>
                <w:szCs w:val="24"/>
              </w:rPr>
              <w:t>类型</w:t>
            </w:r>
          </w:p>
        </w:tc>
        <w:tc>
          <w:tcPr>
            <w:tcW w:w="1496" w:type="dxa"/>
          </w:tcPr>
          <w:p w:rsidR="00E84832" w:rsidRPr="00B100F6" w:rsidRDefault="00E84832" w:rsidP="00E84832">
            <w:pPr>
              <w:rPr>
                <w:rFonts w:ascii="宋体" w:eastAsia="宋体" w:hAnsi="宋体"/>
                <w:sz w:val="24"/>
                <w:szCs w:val="24"/>
              </w:rPr>
            </w:pPr>
            <w:r w:rsidRPr="00B100F6">
              <w:rPr>
                <w:rFonts w:ascii="宋体" w:eastAsia="宋体" w:hAnsi="宋体"/>
                <w:sz w:val="24"/>
                <w:szCs w:val="24"/>
              </w:rPr>
              <w:t>减持数量</w:t>
            </w:r>
            <w:r w:rsidR="00791FEA">
              <w:rPr>
                <w:rFonts w:ascii="宋体" w:eastAsia="宋体" w:hAnsi="宋体" w:hint="eastAsia"/>
                <w:sz w:val="24"/>
                <w:szCs w:val="24"/>
              </w:rPr>
              <w:t>（股）</w:t>
            </w:r>
          </w:p>
        </w:tc>
        <w:tc>
          <w:tcPr>
            <w:tcW w:w="930" w:type="dxa"/>
          </w:tcPr>
          <w:p w:rsidR="00E84832" w:rsidRPr="00B100F6" w:rsidRDefault="00005456" w:rsidP="00E84832">
            <w:pPr>
              <w:rPr>
                <w:rFonts w:ascii="宋体" w:eastAsia="宋体" w:hAnsi="宋体"/>
                <w:sz w:val="24"/>
                <w:szCs w:val="24"/>
              </w:rPr>
            </w:pPr>
            <w:r w:rsidRPr="00B100F6">
              <w:rPr>
                <w:rFonts w:ascii="宋体" w:eastAsia="宋体" w:hAnsi="宋体" w:hint="eastAsia"/>
                <w:sz w:val="24"/>
                <w:szCs w:val="24"/>
              </w:rPr>
              <w:t>变动比例</w:t>
            </w:r>
            <w:r w:rsidR="00791FEA">
              <w:rPr>
                <w:rFonts w:ascii="宋体" w:eastAsia="宋体" w:hAnsi="宋体" w:hint="eastAsia"/>
                <w:sz w:val="24"/>
                <w:szCs w:val="24"/>
              </w:rPr>
              <w:t>（%）</w:t>
            </w:r>
          </w:p>
        </w:tc>
      </w:tr>
      <w:tr w:rsidR="00E84832" w:rsidRPr="00B100F6" w:rsidTr="008A5835">
        <w:tc>
          <w:tcPr>
            <w:tcW w:w="2148" w:type="dxa"/>
          </w:tcPr>
          <w:p w:rsidR="00E84832" w:rsidRPr="00B100F6" w:rsidRDefault="00A01AC4" w:rsidP="00E84832">
            <w:pPr>
              <w:pStyle w:val="a3"/>
              <w:ind w:firstLineChars="0" w:firstLine="0"/>
              <w:rPr>
                <w:rFonts w:ascii="宋体" w:eastAsia="宋体" w:hAnsi="宋体"/>
                <w:sz w:val="24"/>
                <w:szCs w:val="24"/>
              </w:rPr>
            </w:pPr>
            <w:r w:rsidRPr="00B100F6">
              <w:rPr>
                <w:rFonts w:ascii="宋体" w:eastAsia="宋体" w:hAnsi="宋体" w:hint="eastAsia"/>
                <w:sz w:val="24"/>
                <w:szCs w:val="24"/>
              </w:rPr>
              <w:t>浙江省新能源投资集团股份有限公司</w:t>
            </w:r>
          </w:p>
        </w:tc>
        <w:tc>
          <w:tcPr>
            <w:tcW w:w="1213" w:type="dxa"/>
          </w:tcPr>
          <w:p w:rsidR="00E84832" w:rsidRPr="00B100F6" w:rsidRDefault="00A01AC4" w:rsidP="00E84832">
            <w:pPr>
              <w:pStyle w:val="a3"/>
              <w:ind w:firstLineChars="0" w:firstLine="0"/>
              <w:rPr>
                <w:rFonts w:ascii="宋体" w:eastAsia="宋体" w:hAnsi="宋体"/>
                <w:sz w:val="24"/>
                <w:szCs w:val="24"/>
              </w:rPr>
            </w:pPr>
            <w:r w:rsidRPr="00B100F6">
              <w:rPr>
                <w:rFonts w:ascii="宋体" w:eastAsia="宋体" w:hAnsi="宋体" w:hint="eastAsia"/>
                <w:sz w:val="24"/>
                <w:szCs w:val="24"/>
              </w:rPr>
              <w:t>集中竞价</w:t>
            </w:r>
          </w:p>
        </w:tc>
        <w:tc>
          <w:tcPr>
            <w:tcW w:w="1218" w:type="dxa"/>
          </w:tcPr>
          <w:p w:rsidR="00E84832" w:rsidRPr="00B100F6" w:rsidRDefault="00A01AC4" w:rsidP="00E84832">
            <w:pPr>
              <w:pStyle w:val="a3"/>
              <w:ind w:firstLineChars="0" w:firstLine="0"/>
              <w:rPr>
                <w:rFonts w:ascii="宋体" w:eastAsia="宋体" w:hAnsi="宋体"/>
                <w:sz w:val="24"/>
                <w:szCs w:val="24"/>
              </w:rPr>
            </w:pPr>
            <w:r w:rsidRPr="00B100F6">
              <w:rPr>
                <w:rFonts w:ascii="宋体" w:eastAsia="宋体" w:hAnsi="宋体" w:hint="eastAsia"/>
                <w:sz w:val="24"/>
                <w:szCs w:val="24"/>
              </w:rPr>
              <w:t>2</w:t>
            </w:r>
            <w:r w:rsidRPr="00B100F6">
              <w:rPr>
                <w:rFonts w:ascii="宋体" w:eastAsia="宋体" w:hAnsi="宋体"/>
                <w:sz w:val="24"/>
                <w:szCs w:val="24"/>
              </w:rPr>
              <w:t>022</w:t>
            </w:r>
            <w:r w:rsidRPr="00B100F6">
              <w:rPr>
                <w:rFonts w:ascii="宋体" w:eastAsia="宋体" w:hAnsi="宋体" w:hint="eastAsia"/>
                <w:sz w:val="24"/>
                <w:szCs w:val="24"/>
              </w:rPr>
              <w:t>年6月1</w:t>
            </w:r>
            <w:r w:rsidRPr="00B100F6">
              <w:rPr>
                <w:rFonts w:ascii="宋体" w:eastAsia="宋体" w:hAnsi="宋体"/>
                <w:sz w:val="24"/>
                <w:szCs w:val="24"/>
              </w:rPr>
              <w:t>6</w:t>
            </w:r>
            <w:r w:rsidRPr="00B100F6">
              <w:rPr>
                <w:rFonts w:ascii="宋体" w:eastAsia="宋体" w:hAnsi="宋体" w:hint="eastAsia"/>
                <w:sz w:val="24"/>
                <w:szCs w:val="24"/>
              </w:rPr>
              <w:t>日-</w:t>
            </w:r>
            <w:r w:rsidRPr="00B100F6">
              <w:rPr>
                <w:rFonts w:ascii="宋体" w:eastAsia="宋体" w:hAnsi="宋体"/>
                <w:sz w:val="24"/>
                <w:szCs w:val="24"/>
              </w:rPr>
              <w:t>2022</w:t>
            </w:r>
            <w:r w:rsidRPr="00B100F6">
              <w:rPr>
                <w:rFonts w:ascii="宋体" w:eastAsia="宋体" w:hAnsi="宋体" w:hint="eastAsia"/>
                <w:sz w:val="24"/>
                <w:szCs w:val="24"/>
              </w:rPr>
              <w:t>年6月</w:t>
            </w:r>
            <w:r w:rsidR="00791FEA">
              <w:rPr>
                <w:rFonts w:ascii="宋体" w:eastAsia="宋体" w:hAnsi="宋体"/>
                <w:sz w:val="24"/>
                <w:szCs w:val="24"/>
              </w:rPr>
              <w:t>20</w:t>
            </w:r>
            <w:r w:rsidRPr="00B100F6">
              <w:rPr>
                <w:rFonts w:ascii="宋体" w:eastAsia="宋体" w:hAnsi="宋体" w:hint="eastAsia"/>
                <w:sz w:val="24"/>
                <w:szCs w:val="24"/>
              </w:rPr>
              <w:t>日</w:t>
            </w:r>
          </w:p>
        </w:tc>
        <w:tc>
          <w:tcPr>
            <w:tcW w:w="1296" w:type="dxa"/>
          </w:tcPr>
          <w:p w:rsidR="00AA36AB" w:rsidRDefault="00791FEA" w:rsidP="00791FEA">
            <w:pPr>
              <w:pStyle w:val="a3"/>
              <w:ind w:firstLineChars="0" w:firstLine="0"/>
              <w:rPr>
                <w:rFonts w:ascii="宋体" w:eastAsia="宋体" w:hAnsi="宋体"/>
                <w:sz w:val="24"/>
                <w:szCs w:val="24"/>
              </w:rPr>
            </w:pPr>
            <w:r w:rsidRPr="00791FEA">
              <w:rPr>
                <w:rFonts w:ascii="宋体" w:eastAsia="宋体" w:hAnsi="宋体" w:hint="eastAsia"/>
                <w:sz w:val="24"/>
                <w:szCs w:val="24"/>
              </w:rPr>
              <w:t>人民币</w:t>
            </w:r>
          </w:p>
          <w:p w:rsidR="00E84832" w:rsidRPr="00B100F6" w:rsidRDefault="00791FEA" w:rsidP="00791FEA">
            <w:pPr>
              <w:pStyle w:val="a3"/>
              <w:ind w:firstLineChars="0" w:firstLine="0"/>
              <w:rPr>
                <w:rFonts w:ascii="宋体" w:eastAsia="宋体" w:hAnsi="宋体"/>
                <w:sz w:val="24"/>
                <w:szCs w:val="24"/>
              </w:rPr>
            </w:pPr>
            <w:r w:rsidRPr="00791FEA">
              <w:rPr>
                <w:rFonts w:ascii="宋体" w:eastAsia="宋体" w:hAnsi="宋体" w:hint="eastAsia"/>
                <w:sz w:val="24"/>
                <w:szCs w:val="24"/>
              </w:rPr>
              <w:t>普通股</w:t>
            </w:r>
          </w:p>
        </w:tc>
        <w:tc>
          <w:tcPr>
            <w:tcW w:w="1496" w:type="dxa"/>
          </w:tcPr>
          <w:p w:rsidR="00E84832" w:rsidRPr="00B100F6" w:rsidRDefault="00791FEA" w:rsidP="00E84832">
            <w:pPr>
              <w:pStyle w:val="a3"/>
              <w:ind w:firstLineChars="0" w:firstLine="0"/>
              <w:rPr>
                <w:rFonts w:ascii="宋体" w:eastAsia="宋体" w:hAnsi="宋体"/>
                <w:sz w:val="24"/>
                <w:szCs w:val="24"/>
              </w:rPr>
            </w:pPr>
            <w:r w:rsidRPr="00791FEA">
              <w:rPr>
                <w:rFonts w:ascii="宋体" w:eastAsia="宋体" w:hAnsi="宋体"/>
                <w:sz w:val="24"/>
                <w:szCs w:val="24"/>
              </w:rPr>
              <w:t>17,649,700</w:t>
            </w:r>
          </w:p>
        </w:tc>
        <w:tc>
          <w:tcPr>
            <w:tcW w:w="930" w:type="dxa"/>
          </w:tcPr>
          <w:p w:rsidR="00E84832" w:rsidRPr="00B100F6" w:rsidRDefault="00791FEA" w:rsidP="00E84832">
            <w:pPr>
              <w:pStyle w:val="a3"/>
              <w:ind w:firstLineChars="0" w:firstLine="0"/>
              <w:rPr>
                <w:rFonts w:ascii="宋体" w:eastAsia="宋体" w:hAnsi="宋体"/>
                <w:sz w:val="24"/>
                <w:szCs w:val="24"/>
              </w:rPr>
            </w:pPr>
            <w:r w:rsidRPr="00791FEA">
              <w:rPr>
                <w:rFonts w:ascii="宋体" w:eastAsia="宋体" w:hAnsi="宋体"/>
                <w:sz w:val="24"/>
                <w:szCs w:val="24"/>
              </w:rPr>
              <w:t>4.99998</w:t>
            </w:r>
          </w:p>
        </w:tc>
      </w:tr>
    </w:tbl>
    <w:p w:rsidR="00B100F6" w:rsidRDefault="00B100F6" w:rsidP="00B100F6">
      <w:pPr>
        <w:ind w:firstLineChars="100" w:firstLine="240"/>
        <w:rPr>
          <w:rFonts w:ascii="宋体" w:eastAsia="宋体" w:hAnsi="宋体"/>
          <w:sz w:val="24"/>
          <w:szCs w:val="24"/>
        </w:rPr>
      </w:pPr>
    </w:p>
    <w:p w:rsidR="00E84832" w:rsidRPr="00B100F6" w:rsidRDefault="00005456" w:rsidP="00B100F6">
      <w:pPr>
        <w:ind w:firstLineChars="200" w:firstLine="480"/>
        <w:rPr>
          <w:rFonts w:ascii="宋体" w:eastAsia="宋体" w:hAnsi="宋体"/>
          <w:sz w:val="24"/>
          <w:szCs w:val="24"/>
        </w:rPr>
      </w:pPr>
      <w:r w:rsidRPr="00B100F6">
        <w:rPr>
          <w:rFonts w:ascii="宋体" w:eastAsia="宋体" w:hAnsi="宋体" w:hint="eastAsia"/>
          <w:sz w:val="24"/>
          <w:szCs w:val="24"/>
        </w:rPr>
        <w:t>备注：若个别数据加总后与相关数据总汇数存在尾差情况，系数据计算四舍五入原因所致。</w:t>
      </w:r>
    </w:p>
    <w:p w:rsidR="005F245D" w:rsidRPr="00B100F6" w:rsidRDefault="005F245D" w:rsidP="005F245D">
      <w:pPr>
        <w:spacing w:before="14" w:line="480" w:lineRule="exact"/>
        <w:ind w:right="-20" w:firstLineChars="200" w:firstLine="480"/>
        <w:rPr>
          <w:rFonts w:ascii="宋体" w:eastAsia="宋体" w:hAnsi="宋体" w:cs="Microsoft JhengHei"/>
          <w:sz w:val="24"/>
          <w:szCs w:val="24"/>
        </w:rPr>
      </w:pPr>
      <w:r w:rsidRPr="00B100F6">
        <w:rPr>
          <w:rFonts w:ascii="宋体" w:eastAsia="宋体" w:hAnsi="宋体" w:hint="eastAsia"/>
          <w:sz w:val="24"/>
          <w:szCs w:val="24"/>
        </w:rPr>
        <w:t>（三）本次权益变动前后，信息披露义务人浙江新能持有公司股份情况</w:t>
      </w:r>
    </w:p>
    <w:tbl>
      <w:tblPr>
        <w:tblStyle w:val="a4"/>
        <w:tblW w:w="8585" w:type="dxa"/>
        <w:tblInd w:w="-5" w:type="dxa"/>
        <w:tblLook w:val="04A0" w:firstRow="1" w:lastRow="0" w:firstColumn="1" w:lastColumn="0" w:noHBand="0" w:noVBand="1"/>
      </w:tblPr>
      <w:tblGrid>
        <w:gridCol w:w="2410"/>
        <w:gridCol w:w="1701"/>
        <w:gridCol w:w="1418"/>
        <w:gridCol w:w="1701"/>
        <w:gridCol w:w="1355"/>
      </w:tblGrid>
      <w:tr w:rsidR="005F245D" w:rsidRPr="00B100F6" w:rsidTr="00233183">
        <w:tc>
          <w:tcPr>
            <w:tcW w:w="2410"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Microsoft JhengHei" w:hint="eastAsia"/>
                <w:sz w:val="24"/>
                <w:szCs w:val="24"/>
              </w:rPr>
              <w:t>股东名称</w:t>
            </w:r>
          </w:p>
        </w:tc>
        <w:tc>
          <w:tcPr>
            <w:tcW w:w="1701"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Microsoft JhengHei" w:hint="eastAsia"/>
                <w:sz w:val="24"/>
                <w:szCs w:val="24"/>
              </w:rPr>
              <w:t>本次变动前持有股份数（股）</w:t>
            </w:r>
          </w:p>
        </w:tc>
        <w:tc>
          <w:tcPr>
            <w:tcW w:w="1418"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Microsoft JhengHei" w:hint="eastAsia"/>
                <w:sz w:val="24"/>
                <w:szCs w:val="24"/>
              </w:rPr>
              <w:t>占总股份比例（%）</w:t>
            </w:r>
          </w:p>
        </w:tc>
        <w:tc>
          <w:tcPr>
            <w:tcW w:w="1701"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Microsoft JhengHei" w:hint="eastAsia"/>
                <w:sz w:val="24"/>
                <w:szCs w:val="24"/>
              </w:rPr>
              <w:t>本次变动后持有股份数（股）</w:t>
            </w:r>
          </w:p>
        </w:tc>
        <w:tc>
          <w:tcPr>
            <w:tcW w:w="1355"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Microsoft JhengHei" w:hint="eastAsia"/>
                <w:sz w:val="24"/>
                <w:szCs w:val="24"/>
              </w:rPr>
              <w:t>占总股份比例（%）</w:t>
            </w:r>
          </w:p>
        </w:tc>
      </w:tr>
      <w:tr w:rsidR="005F245D" w:rsidRPr="00B100F6" w:rsidTr="00233183">
        <w:tc>
          <w:tcPr>
            <w:tcW w:w="2410"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hint="eastAsia"/>
                <w:sz w:val="24"/>
                <w:szCs w:val="24"/>
              </w:rPr>
              <w:t>浙江省新能源投资集团股份有限公司</w:t>
            </w:r>
          </w:p>
        </w:tc>
        <w:sdt>
          <w:sdtPr>
            <w:rPr>
              <w:rFonts w:ascii="宋体" w:eastAsia="宋体" w:hAnsi="宋体" w:cs="宋体"/>
              <w:color w:val="000000"/>
              <w:kern w:val="0"/>
              <w:sz w:val="24"/>
              <w:szCs w:val="24"/>
            </w:rPr>
            <w:alias w:val="减持主体持股数量"/>
            <w:tag w:val="_GBC_940a2afd344f4fbab3676191f97d2698"/>
            <w:id w:val="1891992272"/>
            <w:text/>
          </w:sdtPr>
          <w:sdtEndPr/>
          <w:sdtContent>
            <w:tc>
              <w:tcPr>
                <w:tcW w:w="1701"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宋体"/>
                    <w:color w:val="000000"/>
                    <w:kern w:val="0"/>
                    <w:sz w:val="24"/>
                    <w:szCs w:val="24"/>
                  </w:rPr>
                  <w:t>89,802,172</w:t>
                </w:r>
              </w:p>
            </w:tc>
          </w:sdtContent>
        </w:sdt>
        <w:tc>
          <w:tcPr>
            <w:tcW w:w="1418" w:type="dxa"/>
          </w:tcPr>
          <w:p w:rsidR="005F245D" w:rsidRPr="00B100F6" w:rsidRDefault="005F245D" w:rsidP="00233183">
            <w:pPr>
              <w:spacing w:before="14" w:line="480" w:lineRule="exact"/>
              <w:ind w:right="-20"/>
              <w:rPr>
                <w:rFonts w:ascii="宋体" w:eastAsia="宋体" w:hAnsi="宋体" w:cs="Microsoft JhengHei"/>
                <w:sz w:val="24"/>
                <w:szCs w:val="24"/>
              </w:rPr>
            </w:pPr>
            <w:r w:rsidRPr="00B100F6">
              <w:rPr>
                <w:rFonts w:ascii="宋体" w:eastAsia="宋体" w:hAnsi="宋体" w:cs="Microsoft JhengHei" w:hint="eastAsia"/>
                <w:sz w:val="24"/>
                <w:szCs w:val="24"/>
              </w:rPr>
              <w:t>2</w:t>
            </w:r>
            <w:r w:rsidRPr="00B100F6">
              <w:rPr>
                <w:rFonts w:ascii="宋体" w:eastAsia="宋体" w:hAnsi="宋体" w:cs="Microsoft JhengHei"/>
                <w:sz w:val="24"/>
                <w:szCs w:val="24"/>
              </w:rPr>
              <w:t>5</w:t>
            </w:r>
            <w:r w:rsidRPr="00B100F6">
              <w:rPr>
                <w:rFonts w:ascii="宋体" w:eastAsia="宋体" w:hAnsi="宋体" w:cs="Microsoft JhengHei" w:hint="eastAsia"/>
                <w:sz w:val="24"/>
                <w:szCs w:val="24"/>
              </w:rPr>
              <w:t>.</w:t>
            </w:r>
            <w:r w:rsidRPr="00B100F6">
              <w:rPr>
                <w:rFonts w:ascii="宋体" w:eastAsia="宋体" w:hAnsi="宋体" w:cs="Microsoft JhengHei"/>
                <w:sz w:val="24"/>
                <w:szCs w:val="24"/>
              </w:rPr>
              <w:t>44</w:t>
            </w:r>
          </w:p>
        </w:tc>
        <w:tc>
          <w:tcPr>
            <w:tcW w:w="1701" w:type="dxa"/>
          </w:tcPr>
          <w:p w:rsidR="005F245D" w:rsidRPr="00B100F6" w:rsidRDefault="00791FEA" w:rsidP="00233183">
            <w:pPr>
              <w:spacing w:before="14" w:line="480" w:lineRule="exact"/>
              <w:ind w:right="-20"/>
              <w:rPr>
                <w:rFonts w:ascii="宋体" w:eastAsia="宋体" w:hAnsi="宋体" w:cs="Microsoft JhengHei"/>
                <w:sz w:val="24"/>
                <w:szCs w:val="24"/>
              </w:rPr>
            </w:pPr>
            <w:r>
              <w:rPr>
                <w:rFonts w:ascii="宋体" w:eastAsia="宋体" w:hAnsi="宋体" w:cs="Microsoft JhengHei" w:hint="eastAsia"/>
                <w:sz w:val="24"/>
                <w:szCs w:val="24"/>
              </w:rPr>
              <w:t>7</w:t>
            </w:r>
            <w:r>
              <w:rPr>
                <w:rFonts w:ascii="宋体" w:eastAsia="宋体" w:hAnsi="宋体" w:cs="Microsoft JhengHei"/>
                <w:sz w:val="24"/>
                <w:szCs w:val="24"/>
              </w:rPr>
              <w:t>2,152,472</w:t>
            </w:r>
          </w:p>
        </w:tc>
        <w:tc>
          <w:tcPr>
            <w:tcW w:w="1355" w:type="dxa"/>
          </w:tcPr>
          <w:p w:rsidR="005F245D" w:rsidRPr="00B100F6" w:rsidRDefault="00791FEA" w:rsidP="00233183">
            <w:pPr>
              <w:spacing w:before="14" w:line="480" w:lineRule="exact"/>
              <w:ind w:right="-20"/>
              <w:rPr>
                <w:rFonts w:ascii="宋体" w:eastAsia="宋体" w:hAnsi="宋体" w:cs="Microsoft JhengHei"/>
                <w:sz w:val="24"/>
                <w:szCs w:val="24"/>
              </w:rPr>
            </w:pPr>
            <w:r>
              <w:rPr>
                <w:rFonts w:ascii="宋体" w:eastAsia="宋体" w:hAnsi="宋体" w:cs="Microsoft JhengHei" w:hint="eastAsia"/>
                <w:sz w:val="24"/>
                <w:szCs w:val="24"/>
              </w:rPr>
              <w:t>2</w:t>
            </w:r>
            <w:r>
              <w:rPr>
                <w:rFonts w:ascii="宋体" w:eastAsia="宋体" w:hAnsi="宋体" w:cs="Microsoft JhengHei"/>
                <w:sz w:val="24"/>
                <w:szCs w:val="24"/>
              </w:rPr>
              <w:t>0.44004</w:t>
            </w:r>
          </w:p>
        </w:tc>
      </w:tr>
    </w:tbl>
    <w:p w:rsidR="005F245D" w:rsidRPr="00B100F6" w:rsidRDefault="005F245D" w:rsidP="005F245D">
      <w:pPr>
        <w:pStyle w:val="Default"/>
        <w:numPr>
          <w:ilvl w:val="0"/>
          <w:numId w:val="1"/>
        </w:numPr>
        <w:spacing w:line="480" w:lineRule="exact"/>
        <w:rPr>
          <w:rFonts w:hAnsi="宋体"/>
        </w:rPr>
      </w:pPr>
      <w:r w:rsidRPr="00B100F6">
        <w:rPr>
          <w:rFonts w:hAnsi="宋体" w:hint="eastAsia"/>
        </w:rPr>
        <w:t>所涉及后续事项</w:t>
      </w:r>
    </w:p>
    <w:p w:rsidR="00B100F6" w:rsidRDefault="00B100F6" w:rsidP="00B100F6">
      <w:pPr>
        <w:pStyle w:val="Default"/>
        <w:spacing w:line="480" w:lineRule="exact"/>
        <w:ind w:firstLineChars="200" w:firstLine="480"/>
        <w:rPr>
          <w:rFonts w:hAnsi="宋体"/>
        </w:rPr>
      </w:pPr>
      <w:r>
        <w:rPr>
          <w:rFonts w:hAnsi="宋体" w:hint="eastAsia"/>
        </w:rPr>
        <w:t>1、</w:t>
      </w:r>
      <w:r w:rsidR="005F245D" w:rsidRPr="00B100F6">
        <w:rPr>
          <w:rFonts w:hAnsi="宋体" w:hint="eastAsia"/>
        </w:rPr>
        <w:t>本次权益变动属于股东减持，不触及要</w:t>
      </w:r>
      <w:r w:rsidR="00B51906">
        <w:rPr>
          <w:rFonts w:hAnsi="宋体" w:hint="eastAsia"/>
        </w:rPr>
        <w:t>约</w:t>
      </w:r>
      <w:bookmarkStart w:id="0" w:name="_GoBack"/>
      <w:bookmarkEnd w:id="0"/>
      <w:r w:rsidR="005F245D" w:rsidRPr="00B100F6">
        <w:rPr>
          <w:rFonts w:hAnsi="宋体" w:hint="eastAsia"/>
        </w:rPr>
        <w:t>收购。</w:t>
      </w:r>
    </w:p>
    <w:p w:rsidR="005F245D" w:rsidRPr="00B100F6" w:rsidRDefault="00B100F6" w:rsidP="00B100F6">
      <w:pPr>
        <w:pStyle w:val="Default"/>
        <w:spacing w:line="480" w:lineRule="exact"/>
        <w:ind w:firstLineChars="200" w:firstLine="480"/>
        <w:rPr>
          <w:rFonts w:hAnsi="宋体"/>
        </w:rPr>
      </w:pPr>
      <w:r>
        <w:rPr>
          <w:rFonts w:hAnsi="宋体" w:hint="eastAsia"/>
        </w:rPr>
        <w:t>2、</w:t>
      </w:r>
      <w:r w:rsidR="005F245D" w:rsidRPr="00B100F6">
        <w:rPr>
          <w:rFonts w:hAnsi="宋体" w:hint="eastAsia"/>
        </w:rPr>
        <w:t>本次权益变动为持股5</w:t>
      </w:r>
      <w:r w:rsidR="005F245D" w:rsidRPr="00B100F6">
        <w:rPr>
          <w:rFonts w:hAnsi="宋体"/>
        </w:rPr>
        <w:t>%</w:t>
      </w:r>
      <w:r w:rsidR="00666A10" w:rsidRPr="00B100F6">
        <w:rPr>
          <w:rFonts w:hAnsi="宋体" w:hint="eastAsia"/>
        </w:rPr>
        <w:t>以上非第一大股东的正常减持行为，不会对公司治理结构及持续经营产生重大影响，不会导致公司控股股东及实际控制人的情况发生变化。</w:t>
      </w:r>
    </w:p>
    <w:p w:rsidR="003D0C7F" w:rsidRPr="00B100F6" w:rsidRDefault="00B100F6" w:rsidP="00B100F6">
      <w:pPr>
        <w:pStyle w:val="Default"/>
        <w:spacing w:line="480" w:lineRule="exact"/>
        <w:ind w:firstLineChars="200" w:firstLine="480"/>
        <w:rPr>
          <w:rFonts w:hAnsi="宋体"/>
        </w:rPr>
      </w:pPr>
      <w:r>
        <w:rPr>
          <w:rFonts w:hAnsi="宋体" w:hint="eastAsia"/>
        </w:rPr>
        <w:t>3、根据《证券法》、</w:t>
      </w:r>
      <w:r w:rsidR="003D0C7F" w:rsidRPr="00B100F6">
        <w:rPr>
          <w:rFonts w:hAnsi="宋体" w:hint="eastAsia"/>
        </w:rPr>
        <w:t>《上市公司收购管理办法》和《公开发行证券的公司信息披露内容与格式准则第</w:t>
      </w:r>
      <w:r w:rsidR="003D0C7F" w:rsidRPr="00B100F6">
        <w:rPr>
          <w:rFonts w:hAnsi="宋体"/>
        </w:rPr>
        <w:t>15号—权益变动报告书》等法律、法规及规范性文件，本次权益变动涉及信息披露义务人披露简式权益变动报告书，具体内容详见公司于同日在上海证券交易所网站（</w:t>
      </w:r>
      <w:proofErr w:type="spellStart"/>
      <w:r w:rsidR="003D0C7F" w:rsidRPr="00B100F6">
        <w:rPr>
          <w:rFonts w:hAnsi="宋体"/>
        </w:rPr>
        <w:t>www.sse.com.cn</w:t>
      </w:r>
      <w:proofErr w:type="spellEnd"/>
      <w:r w:rsidR="003D0C7F" w:rsidRPr="00B100F6">
        <w:rPr>
          <w:rFonts w:hAnsi="宋体"/>
        </w:rPr>
        <w:t>）披露的《简式权益变动报告书》。</w:t>
      </w:r>
    </w:p>
    <w:p w:rsidR="00666A10" w:rsidRPr="00B100F6" w:rsidRDefault="003D0C7F" w:rsidP="003D0C7F">
      <w:pPr>
        <w:pStyle w:val="Default"/>
        <w:spacing w:line="480" w:lineRule="exact"/>
        <w:ind w:left="480"/>
        <w:rPr>
          <w:rFonts w:hAnsi="宋体"/>
        </w:rPr>
      </w:pPr>
      <w:r w:rsidRPr="00B100F6">
        <w:rPr>
          <w:rFonts w:hAnsi="宋体" w:hint="eastAsia"/>
        </w:rPr>
        <w:t>特此公告。</w:t>
      </w:r>
    </w:p>
    <w:p w:rsidR="003D0C7F" w:rsidRPr="00B100F6" w:rsidRDefault="003D0C7F" w:rsidP="003D0C7F">
      <w:pPr>
        <w:pStyle w:val="Default"/>
        <w:spacing w:line="480" w:lineRule="exact"/>
        <w:ind w:left="480"/>
        <w:rPr>
          <w:rFonts w:hAnsi="宋体"/>
        </w:rPr>
      </w:pPr>
    </w:p>
    <w:p w:rsidR="003D0C7F" w:rsidRPr="00B100F6" w:rsidRDefault="003D0C7F" w:rsidP="003D0C7F">
      <w:pPr>
        <w:pStyle w:val="Default"/>
        <w:spacing w:line="480" w:lineRule="exact"/>
        <w:ind w:left="480"/>
        <w:rPr>
          <w:rFonts w:hAnsi="宋体"/>
        </w:rPr>
      </w:pPr>
    </w:p>
    <w:p w:rsidR="003D0C7F" w:rsidRPr="00B100F6" w:rsidRDefault="003D0C7F" w:rsidP="003D0C7F">
      <w:pPr>
        <w:pStyle w:val="Default"/>
        <w:spacing w:line="480" w:lineRule="exact"/>
        <w:ind w:left="480"/>
        <w:rPr>
          <w:rFonts w:hAnsi="宋体"/>
        </w:rPr>
      </w:pPr>
      <w:r w:rsidRPr="00B100F6">
        <w:rPr>
          <w:rFonts w:hAnsi="宋体" w:hint="eastAsia"/>
        </w:rPr>
        <w:t xml:space="preserve"> </w:t>
      </w:r>
      <w:r w:rsidRPr="00B100F6">
        <w:rPr>
          <w:rFonts w:hAnsi="宋体"/>
        </w:rPr>
        <w:t xml:space="preserve">                                 </w:t>
      </w:r>
      <w:r w:rsidRPr="00B100F6">
        <w:rPr>
          <w:rFonts w:hAnsi="宋体" w:hint="eastAsia"/>
        </w:rPr>
        <w:t>钱江水利开发股份有限公司董事会</w:t>
      </w:r>
    </w:p>
    <w:p w:rsidR="003D0C7F" w:rsidRPr="00B100F6" w:rsidRDefault="003D0C7F" w:rsidP="003D0C7F">
      <w:pPr>
        <w:pStyle w:val="Default"/>
        <w:spacing w:line="480" w:lineRule="exact"/>
        <w:ind w:left="480"/>
        <w:rPr>
          <w:rFonts w:hAnsi="宋体"/>
        </w:rPr>
      </w:pPr>
      <w:r w:rsidRPr="00B100F6">
        <w:rPr>
          <w:rFonts w:hAnsi="宋体" w:hint="eastAsia"/>
        </w:rPr>
        <w:t xml:space="preserve"> </w:t>
      </w:r>
      <w:r w:rsidRPr="00B100F6">
        <w:rPr>
          <w:rFonts w:hAnsi="宋体"/>
        </w:rPr>
        <w:t xml:space="preserve">                                   </w:t>
      </w:r>
      <w:r w:rsidR="00B100F6">
        <w:rPr>
          <w:rFonts w:hAnsi="宋体"/>
        </w:rPr>
        <w:t xml:space="preserve">       </w:t>
      </w:r>
      <w:r w:rsidRPr="00B100F6">
        <w:rPr>
          <w:rFonts w:hAnsi="宋体"/>
        </w:rPr>
        <w:t xml:space="preserve"> 2022</w:t>
      </w:r>
      <w:r w:rsidRPr="00B100F6">
        <w:rPr>
          <w:rFonts w:hAnsi="宋体" w:hint="eastAsia"/>
        </w:rPr>
        <w:t>年6月</w:t>
      </w:r>
      <w:r w:rsidR="00B100F6">
        <w:rPr>
          <w:rFonts w:hAnsi="宋体"/>
        </w:rPr>
        <w:t>21</w:t>
      </w:r>
      <w:r w:rsidRPr="00B100F6">
        <w:rPr>
          <w:rFonts w:hAnsi="宋体" w:hint="eastAsia"/>
        </w:rPr>
        <w:t>日</w:t>
      </w:r>
    </w:p>
    <w:sectPr w:rsidR="003D0C7F" w:rsidRPr="00B100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EF" w:rsidRDefault="003F2DEF" w:rsidP="00A61750">
      <w:r>
        <w:separator/>
      </w:r>
    </w:p>
  </w:endnote>
  <w:endnote w:type="continuationSeparator" w:id="0">
    <w:p w:rsidR="003F2DEF" w:rsidRDefault="003F2DEF" w:rsidP="00A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200916"/>
      <w:docPartObj>
        <w:docPartGallery w:val="Page Numbers (Bottom of Page)"/>
        <w:docPartUnique/>
      </w:docPartObj>
    </w:sdtPr>
    <w:sdtEndPr/>
    <w:sdtContent>
      <w:p w:rsidR="00B100F6" w:rsidRDefault="00B100F6">
        <w:pPr>
          <w:pStyle w:val="a7"/>
          <w:jc w:val="center"/>
        </w:pPr>
        <w:r>
          <w:fldChar w:fldCharType="begin"/>
        </w:r>
        <w:r>
          <w:instrText>PAGE   \* MERGEFORMAT</w:instrText>
        </w:r>
        <w:r>
          <w:fldChar w:fldCharType="separate"/>
        </w:r>
        <w:r w:rsidR="00B51906" w:rsidRPr="00B51906">
          <w:rPr>
            <w:noProof/>
            <w:lang w:val="zh-CN"/>
          </w:rPr>
          <w:t>2</w:t>
        </w:r>
        <w:r>
          <w:fldChar w:fldCharType="end"/>
        </w:r>
      </w:p>
    </w:sdtContent>
  </w:sdt>
  <w:p w:rsidR="00B100F6" w:rsidRDefault="00B100F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EF" w:rsidRDefault="003F2DEF" w:rsidP="00A61750">
      <w:r>
        <w:separator/>
      </w:r>
    </w:p>
  </w:footnote>
  <w:footnote w:type="continuationSeparator" w:id="0">
    <w:p w:rsidR="003F2DEF" w:rsidRDefault="003F2DEF" w:rsidP="00A61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3142"/>
    <w:multiLevelType w:val="hybridMultilevel"/>
    <w:tmpl w:val="82FC6E1A"/>
    <w:lvl w:ilvl="0" w:tplc="6BE0CDF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5885EAA"/>
    <w:multiLevelType w:val="hybridMultilevel"/>
    <w:tmpl w:val="21DA2EDE"/>
    <w:lvl w:ilvl="0" w:tplc="4C362D5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63726E8"/>
    <w:multiLevelType w:val="hybridMultilevel"/>
    <w:tmpl w:val="152241B2"/>
    <w:lvl w:ilvl="0" w:tplc="F69A1CE0">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F4"/>
    <w:rsid w:val="00005456"/>
    <w:rsid w:val="00007634"/>
    <w:rsid w:val="00127892"/>
    <w:rsid w:val="001B0BAA"/>
    <w:rsid w:val="00240601"/>
    <w:rsid w:val="003663A6"/>
    <w:rsid w:val="003B32B7"/>
    <w:rsid w:val="003D0C7F"/>
    <w:rsid w:val="003F2DEF"/>
    <w:rsid w:val="00473637"/>
    <w:rsid w:val="004826AB"/>
    <w:rsid w:val="0056147F"/>
    <w:rsid w:val="005F245D"/>
    <w:rsid w:val="00666A10"/>
    <w:rsid w:val="006B6A32"/>
    <w:rsid w:val="006E0A07"/>
    <w:rsid w:val="00781A4C"/>
    <w:rsid w:val="00791FEA"/>
    <w:rsid w:val="00794696"/>
    <w:rsid w:val="007E2BE8"/>
    <w:rsid w:val="007E7659"/>
    <w:rsid w:val="007F4EAB"/>
    <w:rsid w:val="0087097A"/>
    <w:rsid w:val="008A5835"/>
    <w:rsid w:val="009B3FE3"/>
    <w:rsid w:val="00A01AC4"/>
    <w:rsid w:val="00A10BE9"/>
    <w:rsid w:val="00A61750"/>
    <w:rsid w:val="00A96267"/>
    <w:rsid w:val="00AA36AB"/>
    <w:rsid w:val="00AF2932"/>
    <w:rsid w:val="00B100F6"/>
    <w:rsid w:val="00B122F8"/>
    <w:rsid w:val="00B513AE"/>
    <w:rsid w:val="00B51906"/>
    <w:rsid w:val="00B648DC"/>
    <w:rsid w:val="00B925DF"/>
    <w:rsid w:val="00C12C1C"/>
    <w:rsid w:val="00CA51F5"/>
    <w:rsid w:val="00CD572F"/>
    <w:rsid w:val="00D1337C"/>
    <w:rsid w:val="00E84832"/>
    <w:rsid w:val="00ED1F95"/>
    <w:rsid w:val="00EE7665"/>
    <w:rsid w:val="00F86EF4"/>
    <w:rsid w:val="00F96280"/>
    <w:rsid w:val="00FB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DDCBE-88C5-4B5B-BA5F-2703B4DB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B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9BE"/>
    <w:pPr>
      <w:ind w:firstLineChars="200" w:firstLine="420"/>
    </w:pPr>
  </w:style>
  <w:style w:type="table" w:styleId="a4">
    <w:name w:val="Table Grid"/>
    <w:basedOn w:val="a1"/>
    <w:uiPriority w:val="39"/>
    <w:rsid w:val="003B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45D"/>
    <w:pPr>
      <w:widowControl w:val="0"/>
      <w:autoSpaceDE w:val="0"/>
      <w:autoSpaceDN w:val="0"/>
      <w:adjustRightInd w:val="0"/>
    </w:pPr>
    <w:rPr>
      <w:rFonts w:ascii="宋体" w:eastAsia="宋体" w:cs="宋体"/>
      <w:color w:val="000000"/>
      <w:kern w:val="0"/>
      <w:sz w:val="24"/>
      <w:szCs w:val="24"/>
    </w:rPr>
  </w:style>
  <w:style w:type="paragraph" w:styleId="a5">
    <w:name w:val="header"/>
    <w:basedOn w:val="a"/>
    <w:link w:val="a6"/>
    <w:uiPriority w:val="99"/>
    <w:unhideWhenUsed/>
    <w:rsid w:val="00A6175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1750"/>
    <w:rPr>
      <w:sz w:val="18"/>
      <w:szCs w:val="18"/>
    </w:rPr>
  </w:style>
  <w:style w:type="paragraph" w:styleId="a7">
    <w:name w:val="footer"/>
    <w:basedOn w:val="a"/>
    <w:link w:val="a8"/>
    <w:uiPriority w:val="99"/>
    <w:unhideWhenUsed/>
    <w:rsid w:val="00A61750"/>
    <w:pPr>
      <w:tabs>
        <w:tab w:val="center" w:pos="4153"/>
        <w:tab w:val="right" w:pos="8306"/>
      </w:tabs>
      <w:snapToGrid w:val="0"/>
      <w:jc w:val="left"/>
    </w:pPr>
    <w:rPr>
      <w:sz w:val="18"/>
      <w:szCs w:val="18"/>
    </w:rPr>
  </w:style>
  <w:style w:type="character" w:customStyle="1" w:styleId="a8">
    <w:name w:val="页脚 字符"/>
    <w:basedOn w:val="a0"/>
    <w:link w:val="a7"/>
    <w:uiPriority w:val="99"/>
    <w:rsid w:val="00A617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16</cp:revision>
  <dcterms:created xsi:type="dcterms:W3CDTF">2022-06-20T03:36:00Z</dcterms:created>
  <dcterms:modified xsi:type="dcterms:W3CDTF">2022-06-20T09:21:00Z</dcterms:modified>
</cp:coreProperties>
</file>