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31A7" w:rsidRPr="00215F35" w:rsidRDefault="00DC31A7" w:rsidP="00DC31A7">
      <w:pPr>
        <w:spacing w:line="420" w:lineRule="exact"/>
        <w:rPr>
          <w:rFonts w:ascii="宋体" w:hAnsi="宋体"/>
          <w:sz w:val="24"/>
          <w:szCs w:val="24"/>
        </w:rPr>
      </w:pPr>
      <w:r w:rsidRPr="00215F35">
        <w:rPr>
          <w:rFonts w:ascii="宋体" w:hAnsi="宋体" w:hint="eastAsia"/>
          <w:sz w:val="24"/>
          <w:szCs w:val="24"/>
        </w:rPr>
        <w:t>证券代码：</w:t>
      </w:r>
      <w:r w:rsidRPr="00215F35">
        <w:rPr>
          <w:rFonts w:ascii="宋体" w:hAnsi="宋体" w:hint="eastAsia"/>
          <w:sz w:val="24"/>
          <w:szCs w:val="24"/>
        </w:rPr>
        <w:t xml:space="preserve">600283       </w:t>
      </w:r>
      <w:r w:rsidRPr="00215F35">
        <w:rPr>
          <w:rFonts w:ascii="宋体" w:hAnsi="宋体" w:hint="eastAsia"/>
          <w:sz w:val="24"/>
          <w:szCs w:val="24"/>
        </w:rPr>
        <w:t>证券简称：钱江水利</w:t>
      </w:r>
      <w:r>
        <w:rPr>
          <w:rFonts w:ascii="宋体" w:hAnsi="宋体" w:hint="eastAsia"/>
          <w:sz w:val="24"/>
          <w:szCs w:val="24"/>
        </w:rPr>
        <w:t xml:space="preserve"> </w:t>
      </w:r>
      <w:r>
        <w:rPr>
          <w:rFonts w:ascii="宋体" w:hAnsi="宋体"/>
          <w:sz w:val="24"/>
          <w:szCs w:val="24"/>
        </w:rPr>
        <w:t xml:space="preserve">    </w:t>
      </w:r>
      <w:r w:rsidRPr="00215F35">
        <w:rPr>
          <w:rFonts w:ascii="宋体" w:hAnsi="宋体" w:hint="eastAsia"/>
          <w:sz w:val="24"/>
          <w:szCs w:val="24"/>
        </w:rPr>
        <w:t>公告编号：临</w:t>
      </w:r>
      <w:r w:rsidRPr="00215F35">
        <w:rPr>
          <w:rFonts w:ascii="宋体" w:hAnsi="宋体" w:hint="eastAsia"/>
          <w:sz w:val="24"/>
          <w:szCs w:val="24"/>
        </w:rPr>
        <w:t>20</w:t>
      </w:r>
      <w:r>
        <w:rPr>
          <w:rFonts w:ascii="宋体" w:hAnsi="宋体"/>
          <w:sz w:val="24"/>
          <w:szCs w:val="24"/>
        </w:rPr>
        <w:t>22</w:t>
      </w:r>
      <w:r w:rsidRPr="00215F35">
        <w:rPr>
          <w:rFonts w:ascii="宋体" w:hAnsi="宋体" w:hint="eastAsia"/>
          <w:sz w:val="24"/>
          <w:szCs w:val="24"/>
        </w:rPr>
        <w:t>-0</w:t>
      </w:r>
      <w:r>
        <w:rPr>
          <w:rFonts w:ascii="宋体" w:hAnsi="宋体"/>
          <w:sz w:val="24"/>
          <w:szCs w:val="24"/>
        </w:rPr>
        <w:t>33</w:t>
      </w:r>
    </w:p>
    <w:p w:rsidR="00DC31A7" w:rsidRPr="00215F35" w:rsidRDefault="00DC31A7" w:rsidP="00DC31A7">
      <w:pPr>
        <w:pStyle w:val="Default"/>
        <w:spacing w:line="420" w:lineRule="exact"/>
        <w:rPr>
          <w:rFonts w:ascii="宋体" w:eastAsia="宋体" w:cs="宋体"/>
          <w:color w:val="FF0000"/>
        </w:rPr>
      </w:pPr>
    </w:p>
    <w:p w:rsidR="00DC31A7" w:rsidRDefault="00DC31A7" w:rsidP="00DC31A7">
      <w:pPr>
        <w:pStyle w:val="Default"/>
        <w:spacing w:line="420" w:lineRule="exact"/>
        <w:jc w:val="center"/>
        <w:rPr>
          <w:rFonts w:ascii="宋体" w:eastAsia="宋体" w:cs="宋体"/>
          <w:color w:val="FF0000"/>
          <w:sz w:val="32"/>
          <w:szCs w:val="32"/>
        </w:rPr>
      </w:pPr>
      <w:r w:rsidRPr="00215F35">
        <w:rPr>
          <w:rFonts w:ascii="宋体" w:eastAsia="宋体" w:cs="宋体" w:hint="eastAsia"/>
          <w:color w:val="FF0000"/>
          <w:sz w:val="32"/>
          <w:szCs w:val="32"/>
        </w:rPr>
        <w:t>钱江水利开发股份有限公司</w:t>
      </w:r>
      <w:r>
        <w:rPr>
          <w:rFonts w:ascii="宋体" w:eastAsia="宋体" w:cs="宋体" w:hint="eastAsia"/>
          <w:color w:val="FF0000"/>
          <w:sz w:val="32"/>
          <w:szCs w:val="32"/>
        </w:rPr>
        <w:t>5%以上股东</w:t>
      </w:r>
    </w:p>
    <w:p w:rsidR="00DC31A7" w:rsidRPr="00215F35" w:rsidRDefault="00DC31A7" w:rsidP="00DC31A7">
      <w:pPr>
        <w:pStyle w:val="Default"/>
        <w:spacing w:line="420" w:lineRule="exact"/>
        <w:jc w:val="center"/>
        <w:rPr>
          <w:rFonts w:ascii="宋体" w:eastAsia="宋体" w:cs="宋体"/>
          <w:color w:val="FF0000"/>
          <w:sz w:val="32"/>
          <w:szCs w:val="32"/>
        </w:rPr>
      </w:pPr>
      <w:r>
        <w:rPr>
          <w:rFonts w:ascii="宋体" w:eastAsia="宋体" w:cs="宋体" w:hint="eastAsia"/>
          <w:color w:val="FF0000"/>
          <w:sz w:val="32"/>
          <w:szCs w:val="32"/>
        </w:rPr>
        <w:t>关于集中竞价减持误操作触发短线交易的情况说明及致歉</w:t>
      </w:r>
      <w:r w:rsidRPr="00215F35">
        <w:rPr>
          <w:rFonts w:ascii="宋体" w:eastAsia="宋体" w:cs="宋体" w:hint="eastAsia"/>
          <w:color w:val="FF0000"/>
          <w:sz w:val="32"/>
          <w:szCs w:val="32"/>
        </w:rPr>
        <w:t>公告</w:t>
      </w:r>
    </w:p>
    <w:p w:rsidR="00DC31A7" w:rsidRPr="00215F35" w:rsidRDefault="00DC31A7" w:rsidP="00DC31A7">
      <w:pPr>
        <w:pStyle w:val="Default"/>
        <w:spacing w:line="420" w:lineRule="exact"/>
        <w:rPr>
          <w:rFonts w:ascii="宋体" w:eastAsia="宋体" w:cs="宋体"/>
        </w:rPr>
      </w:pPr>
    </w:p>
    <w:p w:rsidR="00DC31A7" w:rsidRPr="00215F35" w:rsidRDefault="00DC31A7" w:rsidP="00DF1A8E">
      <w:pPr>
        <w:pStyle w:val="Default"/>
        <w:spacing w:line="520" w:lineRule="exact"/>
        <w:ind w:firstLineChars="200" w:firstLine="480"/>
        <w:jc w:val="both"/>
        <w:rPr>
          <w:rFonts w:ascii="宋体" w:eastAsia="宋体" w:cs="宋体"/>
        </w:rPr>
      </w:pPr>
      <w:r w:rsidRPr="00215F35">
        <w:rPr>
          <w:rFonts w:ascii="宋体" w:eastAsia="宋体" w:cs="宋体" w:hint="eastAsia"/>
        </w:rPr>
        <w:t>本公司董事会及全体董事保证本公告内容不存在任何虚假记载、误导性陈述或者重大遗漏，并对其内容的真实性、准确性和完整性承担个别及连带责任。</w:t>
      </w:r>
    </w:p>
    <w:p w:rsidR="00DC31A7" w:rsidRDefault="008A7D97" w:rsidP="00DF1A8E">
      <w:pPr>
        <w:spacing w:line="520" w:lineRule="exact"/>
        <w:rPr>
          <w:sz w:val="24"/>
          <w:szCs w:val="24"/>
        </w:rPr>
      </w:pPr>
      <w:r>
        <w:rPr>
          <w:rFonts w:hint="eastAsia"/>
          <w:sz w:val="24"/>
          <w:szCs w:val="24"/>
        </w:rPr>
        <w:t xml:space="preserve"> </w:t>
      </w:r>
      <w:r>
        <w:rPr>
          <w:sz w:val="24"/>
          <w:szCs w:val="24"/>
        </w:rPr>
        <w:t xml:space="preserve">  </w:t>
      </w:r>
      <w:r w:rsidRPr="008A7D97">
        <w:rPr>
          <w:sz w:val="24"/>
          <w:szCs w:val="24"/>
        </w:rPr>
        <w:t>2022年5月24日，公</w:t>
      </w:r>
      <w:r w:rsidRPr="00DF1A8E">
        <w:rPr>
          <w:sz w:val="24"/>
          <w:szCs w:val="24"/>
        </w:rPr>
        <w:t>司披露了《公司股东集中竞价减持股份计划公告》，</w:t>
      </w:r>
      <w:r w:rsidRPr="00DF1A8E">
        <w:rPr>
          <w:rFonts w:hint="eastAsia"/>
          <w:sz w:val="24"/>
          <w:szCs w:val="24"/>
        </w:rPr>
        <w:t>浙江省新能源集团股份有限公司（</w:t>
      </w:r>
      <w:r w:rsidRPr="008A7D97">
        <w:rPr>
          <w:rFonts w:hint="eastAsia"/>
          <w:sz w:val="24"/>
          <w:szCs w:val="24"/>
        </w:rPr>
        <w:t>以下简称“浙江新能”）</w:t>
      </w:r>
      <w:r w:rsidRPr="008A7D97">
        <w:rPr>
          <w:sz w:val="24"/>
          <w:szCs w:val="24"/>
        </w:rPr>
        <w:t>根据自身经营需要，在本计划披露之日起的15个交易日后的6个月内,通过集中竞价减持不超过35,299,575股,即占公司总股本不超过10%。</w:t>
      </w:r>
    </w:p>
    <w:p w:rsidR="008A7D97" w:rsidRDefault="008A7D97" w:rsidP="00DF1A8E">
      <w:pPr>
        <w:spacing w:line="520" w:lineRule="exact"/>
        <w:rPr>
          <w:sz w:val="24"/>
          <w:szCs w:val="24"/>
        </w:rPr>
      </w:pPr>
      <w:r>
        <w:rPr>
          <w:rFonts w:hint="eastAsia"/>
          <w:sz w:val="24"/>
          <w:szCs w:val="24"/>
        </w:rPr>
        <w:t xml:space="preserve"> </w:t>
      </w:r>
      <w:r w:rsidR="00DF1A8E">
        <w:rPr>
          <w:sz w:val="24"/>
          <w:szCs w:val="24"/>
        </w:rPr>
        <w:t xml:space="preserve">   </w:t>
      </w:r>
      <w:r w:rsidRPr="008A7D97">
        <w:rPr>
          <w:rFonts w:hint="eastAsia"/>
          <w:sz w:val="24"/>
          <w:szCs w:val="24"/>
        </w:rPr>
        <w:t>自</w:t>
      </w:r>
      <w:r w:rsidRPr="008A7D97">
        <w:rPr>
          <w:sz w:val="24"/>
          <w:szCs w:val="24"/>
        </w:rPr>
        <w:t>2022年6月16日至2022年6月</w:t>
      </w:r>
      <w:r w:rsidR="008D2600">
        <w:rPr>
          <w:sz w:val="24"/>
          <w:szCs w:val="24"/>
        </w:rPr>
        <w:t>28</w:t>
      </w:r>
      <w:r w:rsidRPr="008A7D97">
        <w:rPr>
          <w:sz w:val="24"/>
          <w:szCs w:val="24"/>
        </w:rPr>
        <w:t>日，</w:t>
      </w:r>
      <w:r w:rsidRPr="008A7D97">
        <w:rPr>
          <w:rFonts w:hint="eastAsia"/>
          <w:sz w:val="24"/>
          <w:szCs w:val="24"/>
        </w:rPr>
        <w:t>浙江新能</w:t>
      </w:r>
      <w:r>
        <w:rPr>
          <w:sz w:val="24"/>
          <w:szCs w:val="24"/>
        </w:rPr>
        <w:t>通过集中竞价方式累计减持</w:t>
      </w:r>
      <w:r>
        <w:rPr>
          <w:rFonts w:hint="eastAsia"/>
          <w:sz w:val="24"/>
          <w:szCs w:val="24"/>
        </w:rPr>
        <w:t>本公司</w:t>
      </w:r>
      <w:r w:rsidRPr="008A7D97">
        <w:rPr>
          <w:sz w:val="24"/>
          <w:szCs w:val="24"/>
        </w:rPr>
        <w:t>股份</w:t>
      </w:r>
      <w:r w:rsidR="008D2600" w:rsidRPr="008D2600">
        <w:rPr>
          <w:sz w:val="24"/>
          <w:szCs w:val="24"/>
        </w:rPr>
        <w:t>18,399,700</w:t>
      </w:r>
      <w:r w:rsidRPr="008A7D97">
        <w:rPr>
          <w:sz w:val="24"/>
          <w:szCs w:val="24"/>
        </w:rPr>
        <w:t>股，占</w:t>
      </w:r>
      <w:r>
        <w:rPr>
          <w:rFonts w:hint="eastAsia"/>
          <w:sz w:val="24"/>
          <w:szCs w:val="24"/>
        </w:rPr>
        <w:t>公司</w:t>
      </w:r>
      <w:r w:rsidRPr="008A7D97">
        <w:rPr>
          <w:sz w:val="24"/>
          <w:szCs w:val="24"/>
        </w:rPr>
        <w:t>总股本的</w:t>
      </w:r>
      <w:r w:rsidR="008D2600" w:rsidRPr="008D2600">
        <w:rPr>
          <w:sz w:val="24"/>
          <w:szCs w:val="24"/>
        </w:rPr>
        <w:t>5.21245</w:t>
      </w:r>
      <w:r w:rsidRPr="008A7D97">
        <w:rPr>
          <w:sz w:val="24"/>
          <w:szCs w:val="24"/>
        </w:rPr>
        <w:t>%，本次减</w:t>
      </w:r>
      <w:proofErr w:type="gramStart"/>
      <w:r w:rsidRPr="008A7D97">
        <w:rPr>
          <w:sz w:val="24"/>
          <w:szCs w:val="24"/>
        </w:rPr>
        <w:t>持计划</w:t>
      </w:r>
      <w:proofErr w:type="gramEnd"/>
      <w:r w:rsidRPr="008A7D97">
        <w:rPr>
          <w:sz w:val="24"/>
          <w:szCs w:val="24"/>
        </w:rPr>
        <w:t>尚未实施完毕。</w:t>
      </w:r>
      <w:r>
        <w:rPr>
          <w:rFonts w:hint="eastAsia"/>
          <w:sz w:val="24"/>
          <w:szCs w:val="24"/>
        </w:rPr>
        <w:t>（详见公告临2</w:t>
      </w:r>
      <w:r>
        <w:rPr>
          <w:sz w:val="24"/>
          <w:szCs w:val="24"/>
        </w:rPr>
        <w:t>022</w:t>
      </w:r>
      <w:r>
        <w:rPr>
          <w:rFonts w:hint="eastAsia"/>
          <w:sz w:val="24"/>
          <w:szCs w:val="24"/>
        </w:rPr>
        <w:t>-</w:t>
      </w:r>
      <w:r>
        <w:rPr>
          <w:sz w:val="24"/>
          <w:szCs w:val="24"/>
        </w:rPr>
        <w:t>019</w:t>
      </w:r>
      <w:r>
        <w:rPr>
          <w:rFonts w:hint="eastAsia"/>
          <w:sz w:val="24"/>
          <w:szCs w:val="24"/>
        </w:rPr>
        <w:t>、0</w:t>
      </w:r>
      <w:r>
        <w:rPr>
          <w:sz w:val="24"/>
          <w:szCs w:val="24"/>
        </w:rPr>
        <w:t>27</w:t>
      </w:r>
      <w:r>
        <w:rPr>
          <w:rFonts w:hint="eastAsia"/>
          <w:sz w:val="24"/>
          <w:szCs w:val="24"/>
        </w:rPr>
        <w:t>、0</w:t>
      </w:r>
      <w:r>
        <w:rPr>
          <w:sz w:val="24"/>
          <w:szCs w:val="24"/>
        </w:rPr>
        <w:t>29</w:t>
      </w:r>
      <w:r>
        <w:rPr>
          <w:rFonts w:hint="eastAsia"/>
          <w:sz w:val="24"/>
          <w:szCs w:val="24"/>
        </w:rPr>
        <w:t>、0</w:t>
      </w:r>
      <w:r>
        <w:rPr>
          <w:sz w:val="24"/>
          <w:szCs w:val="24"/>
        </w:rPr>
        <w:t>32</w:t>
      </w:r>
      <w:r>
        <w:rPr>
          <w:rFonts w:hint="eastAsia"/>
          <w:sz w:val="24"/>
          <w:szCs w:val="24"/>
        </w:rPr>
        <w:t>）</w:t>
      </w:r>
    </w:p>
    <w:p w:rsidR="008A7D97" w:rsidRPr="00DF1A8E" w:rsidRDefault="008A7D97" w:rsidP="00DF1A8E">
      <w:pPr>
        <w:pStyle w:val="Default"/>
        <w:spacing w:line="520" w:lineRule="exact"/>
        <w:ind w:firstLineChars="200" w:firstLine="480"/>
        <w:jc w:val="both"/>
        <w:rPr>
          <w:rFonts w:ascii="宋体" w:eastAsia="宋体" w:cs="宋体"/>
        </w:rPr>
      </w:pPr>
      <w:r w:rsidRPr="00DF1A8E">
        <w:rPr>
          <w:rFonts w:ascii="宋体" w:eastAsia="宋体" w:cs="宋体"/>
        </w:rPr>
        <w:t>2022</w:t>
      </w:r>
      <w:r w:rsidRPr="00DF1A8E">
        <w:rPr>
          <w:rFonts w:ascii="宋体" w:eastAsia="宋体" w:cs="宋体" w:hint="eastAsia"/>
        </w:rPr>
        <w:t>年6月2</w:t>
      </w:r>
      <w:r w:rsidRPr="00DF1A8E">
        <w:rPr>
          <w:rFonts w:ascii="宋体" w:eastAsia="宋体" w:cs="宋体"/>
        </w:rPr>
        <w:t>9</w:t>
      </w:r>
      <w:r w:rsidRPr="00DF1A8E">
        <w:rPr>
          <w:rFonts w:ascii="宋体" w:eastAsia="宋体" w:cs="宋体" w:hint="eastAsia"/>
        </w:rPr>
        <w:t>日，公司收到浙江新能《关于集中竞价减持误操作触发短线交易的情况说明及致歉函》，2022年6月29日，</w:t>
      </w:r>
      <w:r w:rsidR="00DF1A8E" w:rsidRPr="00DF1A8E">
        <w:rPr>
          <w:rFonts w:ascii="宋体" w:eastAsia="宋体" w:cs="宋体" w:hint="eastAsia"/>
        </w:rPr>
        <w:t>其</w:t>
      </w:r>
      <w:r w:rsidRPr="00DF1A8E">
        <w:rPr>
          <w:rFonts w:ascii="宋体" w:eastAsia="宋体" w:cs="宋体" w:hint="eastAsia"/>
        </w:rPr>
        <w:t>工作人员在操作证券账户卖出股票过程中，误将卖出公司股票操作为买入公司股票，由此构成短线交易，现将具体情况告知如下：</w:t>
      </w:r>
    </w:p>
    <w:p w:rsidR="008A7D97" w:rsidRPr="00DF1A8E" w:rsidRDefault="008A7D97" w:rsidP="00DF1A8E">
      <w:pPr>
        <w:pStyle w:val="Default"/>
        <w:spacing w:line="520" w:lineRule="exact"/>
        <w:ind w:firstLineChars="200" w:firstLine="480"/>
        <w:jc w:val="both"/>
        <w:rPr>
          <w:rFonts w:ascii="宋体" w:eastAsia="宋体" w:cs="宋体"/>
        </w:rPr>
      </w:pPr>
      <w:r w:rsidRPr="00DF1A8E">
        <w:rPr>
          <w:rFonts w:ascii="宋体" w:eastAsia="宋体" w:cs="宋体" w:hint="eastAsia"/>
        </w:rPr>
        <w:t>一、本次构成短线交易的基本情况</w:t>
      </w:r>
    </w:p>
    <w:p w:rsidR="008A7D97" w:rsidRPr="00DF1A8E" w:rsidRDefault="008A7D97" w:rsidP="00DF1A8E">
      <w:pPr>
        <w:pStyle w:val="Default"/>
        <w:spacing w:line="520" w:lineRule="exact"/>
        <w:ind w:firstLineChars="200" w:firstLine="480"/>
        <w:jc w:val="both"/>
        <w:rPr>
          <w:rFonts w:ascii="宋体" w:eastAsia="宋体" w:cs="宋体"/>
        </w:rPr>
      </w:pPr>
      <w:r w:rsidRPr="00DF1A8E">
        <w:rPr>
          <w:rFonts w:ascii="宋体" w:eastAsia="宋体" w:cs="宋体" w:hint="eastAsia"/>
        </w:rPr>
        <w:t>2022年6月29日股票交易具体情况如下：</w:t>
      </w:r>
    </w:p>
    <w:tbl>
      <w:tblPr>
        <w:tblStyle w:val="a7"/>
        <w:tblW w:w="5000" w:type="pct"/>
        <w:tblLook w:val="04A0" w:firstRow="1" w:lastRow="0" w:firstColumn="1" w:lastColumn="0" w:noHBand="0" w:noVBand="1"/>
      </w:tblPr>
      <w:tblGrid>
        <w:gridCol w:w="1150"/>
        <w:gridCol w:w="1184"/>
        <w:gridCol w:w="746"/>
        <w:gridCol w:w="1118"/>
        <w:gridCol w:w="1397"/>
        <w:gridCol w:w="1490"/>
        <w:gridCol w:w="1211"/>
      </w:tblGrid>
      <w:tr w:rsidR="00DF1A8E" w:rsidRPr="00DF1A8E" w:rsidTr="00DF1A8E">
        <w:tc>
          <w:tcPr>
            <w:tcW w:w="595" w:type="pct"/>
          </w:tcPr>
          <w:p w:rsidR="00DF1A8E" w:rsidRPr="00276C57" w:rsidRDefault="00DF1A8E" w:rsidP="00DF1A8E">
            <w:r w:rsidRPr="00276C57">
              <w:rPr>
                <w:rFonts w:hint="eastAsia"/>
              </w:rPr>
              <w:t>交易时间</w:t>
            </w:r>
          </w:p>
        </w:tc>
        <w:tc>
          <w:tcPr>
            <w:tcW w:w="730" w:type="pct"/>
          </w:tcPr>
          <w:p w:rsidR="00DF1A8E" w:rsidRPr="00276C57" w:rsidRDefault="00DF1A8E" w:rsidP="00DF1A8E">
            <w:r w:rsidRPr="00276C57">
              <w:t>交易方式</w:t>
            </w:r>
          </w:p>
        </w:tc>
        <w:tc>
          <w:tcPr>
            <w:tcW w:w="466" w:type="pct"/>
          </w:tcPr>
          <w:p w:rsidR="00DF1A8E" w:rsidRPr="00276C57" w:rsidRDefault="00DF1A8E" w:rsidP="00DF1A8E">
            <w:r w:rsidRPr="00276C57">
              <w:t>交易方向</w:t>
            </w:r>
          </w:p>
        </w:tc>
        <w:tc>
          <w:tcPr>
            <w:tcW w:w="690" w:type="pct"/>
          </w:tcPr>
          <w:p w:rsidR="00DF1A8E" w:rsidRPr="00276C57" w:rsidRDefault="00DF1A8E" w:rsidP="00DF1A8E">
            <w:r w:rsidRPr="00276C57">
              <w:t>成交均价（元/股）</w:t>
            </w:r>
          </w:p>
        </w:tc>
        <w:tc>
          <w:tcPr>
            <w:tcW w:w="858" w:type="pct"/>
          </w:tcPr>
          <w:p w:rsidR="00DF1A8E" w:rsidRPr="00276C57" w:rsidRDefault="00DF1A8E" w:rsidP="00DF1A8E">
            <w:r w:rsidRPr="00276C57">
              <w:t>成交数量（股）</w:t>
            </w:r>
          </w:p>
        </w:tc>
        <w:tc>
          <w:tcPr>
            <w:tcW w:w="914" w:type="pct"/>
          </w:tcPr>
          <w:p w:rsidR="00DF1A8E" w:rsidRPr="00276C57" w:rsidRDefault="00DF1A8E" w:rsidP="00DF1A8E">
            <w:r w:rsidRPr="00276C57">
              <w:t>成交金额（元）</w:t>
            </w:r>
          </w:p>
        </w:tc>
        <w:tc>
          <w:tcPr>
            <w:tcW w:w="746" w:type="pct"/>
          </w:tcPr>
          <w:p w:rsidR="00DF1A8E" w:rsidRPr="00276C57" w:rsidRDefault="00DF1A8E" w:rsidP="00DF1A8E">
            <w:r w:rsidRPr="00276C57">
              <w:t>占公司总股本比例</w:t>
            </w:r>
          </w:p>
        </w:tc>
      </w:tr>
      <w:tr w:rsidR="00DF1A8E" w:rsidRPr="00DF1A8E" w:rsidTr="00DF1A8E">
        <w:tc>
          <w:tcPr>
            <w:tcW w:w="595" w:type="pct"/>
          </w:tcPr>
          <w:p w:rsidR="00DF1A8E" w:rsidRPr="00276C57" w:rsidRDefault="00DF1A8E" w:rsidP="00DF1A8E">
            <w:r w:rsidRPr="00276C57">
              <w:t>2022/6/29</w:t>
            </w:r>
          </w:p>
        </w:tc>
        <w:tc>
          <w:tcPr>
            <w:tcW w:w="730" w:type="pct"/>
          </w:tcPr>
          <w:p w:rsidR="00DF1A8E" w:rsidRPr="00276C57" w:rsidRDefault="00DF1A8E" w:rsidP="00DF1A8E">
            <w:r w:rsidRPr="00276C57">
              <w:t>集中竞价</w:t>
            </w:r>
          </w:p>
        </w:tc>
        <w:tc>
          <w:tcPr>
            <w:tcW w:w="466" w:type="pct"/>
          </w:tcPr>
          <w:p w:rsidR="00DF1A8E" w:rsidRPr="00276C57" w:rsidRDefault="00DF1A8E" w:rsidP="00DF1A8E">
            <w:r w:rsidRPr="00276C57">
              <w:t>卖出</w:t>
            </w:r>
          </w:p>
        </w:tc>
        <w:tc>
          <w:tcPr>
            <w:tcW w:w="690" w:type="pct"/>
          </w:tcPr>
          <w:p w:rsidR="00DF1A8E" w:rsidRPr="00276C57" w:rsidRDefault="00DF1A8E" w:rsidP="00DF1A8E">
            <w:r w:rsidRPr="00276C57">
              <w:t>16.049</w:t>
            </w:r>
          </w:p>
        </w:tc>
        <w:tc>
          <w:tcPr>
            <w:tcW w:w="858" w:type="pct"/>
          </w:tcPr>
          <w:p w:rsidR="00DF1A8E" w:rsidRPr="00276C57" w:rsidRDefault="00DF1A8E" w:rsidP="00DF1A8E">
            <w:r w:rsidRPr="00276C57">
              <w:t>1,400,000</w:t>
            </w:r>
          </w:p>
        </w:tc>
        <w:tc>
          <w:tcPr>
            <w:tcW w:w="914" w:type="pct"/>
          </w:tcPr>
          <w:p w:rsidR="00DF1A8E" w:rsidRPr="00276C57" w:rsidRDefault="00DF1A8E" w:rsidP="00DF1A8E">
            <w:r w:rsidRPr="00276C57">
              <w:t>22,468,648</w:t>
            </w:r>
          </w:p>
        </w:tc>
        <w:tc>
          <w:tcPr>
            <w:tcW w:w="746" w:type="pct"/>
          </w:tcPr>
          <w:p w:rsidR="00DF1A8E" w:rsidRPr="00276C57" w:rsidRDefault="00DF1A8E" w:rsidP="00DF1A8E">
            <w:r w:rsidRPr="00276C57">
              <w:t>0.3966%</w:t>
            </w:r>
          </w:p>
        </w:tc>
      </w:tr>
      <w:tr w:rsidR="00DF1A8E" w:rsidRPr="00DF1A8E" w:rsidTr="00DF1A8E">
        <w:tc>
          <w:tcPr>
            <w:tcW w:w="595" w:type="pct"/>
          </w:tcPr>
          <w:p w:rsidR="00DF1A8E" w:rsidRPr="00276C57" w:rsidRDefault="00DF1A8E" w:rsidP="00DF1A8E">
            <w:r w:rsidRPr="00276C57">
              <w:t>2022/6/29</w:t>
            </w:r>
          </w:p>
        </w:tc>
        <w:tc>
          <w:tcPr>
            <w:tcW w:w="730" w:type="pct"/>
          </w:tcPr>
          <w:p w:rsidR="00DF1A8E" w:rsidRPr="00276C57" w:rsidRDefault="00DF1A8E" w:rsidP="00DF1A8E">
            <w:r w:rsidRPr="00276C57">
              <w:t>集中竞价</w:t>
            </w:r>
          </w:p>
        </w:tc>
        <w:tc>
          <w:tcPr>
            <w:tcW w:w="466" w:type="pct"/>
          </w:tcPr>
          <w:p w:rsidR="00DF1A8E" w:rsidRPr="00276C57" w:rsidRDefault="00DF1A8E" w:rsidP="00DF1A8E">
            <w:r w:rsidRPr="00276C57">
              <w:t>买入</w:t>
            </w:r>
          </w:p>
        </w:tc>
        <w:tc>
          <w:tcPr>
            <w:tcW w:w="690" w:type="pct"/>
          </w:tcPr>
          <w:p w:rsidR="00DF1A8E" w:rsidRPr="00276C57" w:rsidRDefault="00DF1A8E" w:rsidP="00DF1A8E">
            <w:r w:rsidRPr="00276C57">
              <w:t>15.99</w:t>
            </w:r>
          </w:p>
        </w:tc>
        <w:tc>
          <w:tcPr>
            <w:tcW w:w="858" w:type="pct"/>
          </w:tcPr>
          <w:p w:rsidR="00DF1A8E" w:rsidRPr="00276C57" w:rsidRDefault="00DF1A8E" w:rsidP="00DF1A8E">
            <w:r w:rsidRPr="00276C57">
              <w:t>20,000</w:t>
            </w:r>
          </w:p>
        </w:tc>
        <w:tc>
          <w:tcPr>
            <w:tcW w:w="914" w:type="pct"/>
          </w:tcPr>
          <w:p w:rsidR="00DF1A8E" w:rsidRPr="00276C57" w:rsidRDefault="00DF1A8E" w:rsidP="00DF1A8E">
            <w:r w:rsidRPr="00276C57">
              <w:t>319,800</w:t>
            </w:r>
          </w:p>
        </w:tc>
        <w:tc>
          <w:tcPr>
            <w:tcW w:w="746" w:type="pct"/>
          </w:tcPr>
          <w:p w:rsidR="00DF1A8E" w:rsidRDefault="00DF1A8E" w:rsidP="00DF1A8E">
            <w:r w:rsidRPr="00276C57">
              <w:t>0.0057%</w:t>
            </w:r>
          </w:p>
        </w:tc>
      </w:tr>
    </w:tbl>
    <w:p w:rsidR="008A7D97" w:rsidRPr="00DF1A8E" w:rsidRDefault="008A7D97" w:rsidP="00DF1A8E">
      <w:pPr>
        <w:pStyle w:val="Default"/>
        <w:spacing w:line="520" w:lineRule="exact"/>
        <w:ind w:firstLineChars="200" w:firstLine="480"/>
        <w:jc w:val="both"/>
        <w:rPr>
          <w:rFonts w:ascii="宋体" w:eastAsia="宋体" w:cs="宋体"/>
        </w:rPr>
      </w:pPr>
      <w:r w:rsidRPr="00DF1A8E">
        <w:rPr>
          <w:rFonts w:ascii="宋体" w:eastAsia="宋体" w:cs="宋体" w:hint="eastAsia"/>
        </w:rPr>
        <w:t>（注：若</w:t>
      </w:r>
      <w:r w:rsidRPr="00DF1A8E">
        <w:rPr>
          <w:rFonts w:ascii="宋体" w:eastAsia="宋体" w:cs="宋体"/>
        </w:rPr>
        <w:t>个别数据加总后与相关数据汇总数存在尾差情况，系数据计算时四舍五入造成。</w:t>
      </w:r>
      <w:r w:rsidRPr="00DF1A8E">
        <w:rPr>
          <w:rFonts w:ascii="宋体" w:eastAsia="宋体" w:cs="宋体" w:hint="eastAsia"/>
        </w:rPr>
        <w:t>）</w:t>
      </w:r>
    </w:p>
    <w:p w:rsidR="008A7D97" w:rsidRPr="00DF1A8E" w:rsidRDefault="008A7D97" w:rsidP="00DF1A8E">
      <w:pPr>
        <w:pStyle w:val="Default"/>
        <w:spacing w:line="520" w:lineRule="exact"/>
        <w:ind w:firstLineChars="200" w:firstLine="480"/>
        <w:jc w:val="both"/>
        <w:rPr>
          <w:rFonts w:ascii="宋体" w:eastAsia="宋体" w:cs="宋体"/>
        </w:rPr>
      </w:pPr>
      <w:r w:rsidRPr="00DF1A8E">
        <w:rPr>
          <w:rFonts w:ascii="宋体" w:eastAsia="宋体" w:cs="宋体" w:hint="eastAsia"/>
        </w:rPr>
        <w:t>二、本次违规交易的处理情况及补救措施</w:t>
      </w:r>
    </w:p>
    <w:p w:rsidR="008A7D97" w:rsidRPr="00DF1A8E" w:rsidRDefault="00DF1A8E" w:rsidP="00DF1A8E">
      <w:pPr>
        <w:pStyle w:val="Default"/>
        <w:spacing w:line="520" w:lineRule="exact"/>
        <w:ind w:firstLineChars="200" w:firstLine="480"/>
        <w:jc w:val="both"/>
        <w:rPr>
          <w:rFonts w:ascii="宋体" w:eastAsia="宋体" w:cs="宋体"/>
        </w:rPr>
      </w:pPr>
      <w:r>
        <w:rPr>
          <w:rFonts w:ascii="宋体" w:eastAsia="宋体" w:cs="宋体" w:hint="eastAsia"/>
        </w:rPr>
        <w:t>浙江新能</w:t>
      </w:r>
      <w:r w:rsidR="008A7D97" w:rsidRPr="00DF1A8E">
        <w:rPr>
          <w:rFonts w:ascii="宋体" w:eastAsia="宋体" w:cs="宋体" w:hint="eastAsia"/>
        </w:rPr>
        <w:t>对上述情况高度重视，及时核查相关情况，有关处理情况及补救措</w:t>
      </w:r>
      <w:r w:rsidR="008A7D97" w:rsidRPr="00DF1A8E">
        <w:rPr>
          <w:rFonts w:ascii="宋体" w:eastAsia="宋体" w:cs="宋体" w:hint="eastAsia"/>
        </w:rPr>
        <w:lastRenderedPageBreak/>
        <w:t>施如下：</w:t>
      </w:r>
      <w:bookmarkStart w:id="0" w:name="_GoBack"/>
      <w:bookmarkEnd w:id="0"/>
    </w:p>
    <w:p w:rsidR="008A7D97" w:rsidRPr="00DF1A8E" w:rsidRDefault="008A7D97" w:rsidP="00DF1A8E">
      <w:pPr>
        <w:pStyle w:val="Default"/>
        <w:spacing w:line="520" w:lineRule="exact"/>
        <w:ind w:firstLineChars="200" w:firstLine="480"/>
        <w:jc w:val="both"/>
        <w:rPr>
          <w:rFonts w:ascii="宋体" w:eastAsia="宋体" w:cs="宋体"/>
        </w:rPr>
      </w:pPr>
      <w:r w:rsidRPr="00DF1A8E">
        <w:rPr>
          <w:rFonts w:ascii="宋体" w:eastAsia="宋体" w:cs="宋体" w:hint="eastAsia"/>
        </w:rPr>
        <w:t>1、根据《中华人民共和国证券法》第四十四条的规定：“上市公司、股票在国务院批准的其他全国性证券交易场所交易的公司持有百分之五以上股份的股东、董事、监事、高级管理人员，将其持有的该公司的股票或者其他具有股权性质的证券在买入后六个月内卖出，或者在卖出后六个月内又买入，由此所得收益归该公司所有，公司董事会应当收回其所得收益。”</w:t>
      </w:r>
    </w:p>
    <w:p w:rsidR="008A7D97" w:rsidRPr="00DF1A8E" w:rsidRDefault="008A7D97" w:rsidP="00DF1A8E">
      <w:pPr>
        <w:pStyle w:val="Default"/>
        <w:spacing w:line="520" w:lineRule="exact"/>
        <w:ind w:firstLineChars="200" w:firstLine="480"/>
        <w:jc w:val="both"/>
        <w:rPr>
          <w:rFonts w:ascii="宋体" w:eastAsia="宋体" w:cs="宋体"/>
        </w:rPr>
      </w:pPr>
      <w:r w:rsidRPr="00DF1A8E">
        <w:rPr>
          <w:rFonts w:ascii="宋体" w:eastAsia="宋体" w:cs="宋体" w:hint="eastAsia"/>
        </w:rPr>
        <w:t>据此规定，</w:t>
      </w:r>
      <w:r w:rsidR="00DF1A8E">
        <w:rPr>
          <w:rFonts w:ascii="宋体" w:eastAsia="宋体" w:cs="宋体" w:hint="eastAsia"/>
        </w:rPr>
        <w:t>浙江新能</w:t>
      </w:r>
      <w:r w:rsidRPr="00DF1A8E">
        <w:rPr>
          <w:rFonts w:ascii="宋体" w:eastAsia="宋体" w:cs="宋体" w:hint="eastAsia"/>
        </w:rPr>
        <w:t>将以本次短线交易所得收益人民币3,600元上缴</w:t>
      </w:r>
      <w:r w:rsidR="00DF1A8E">
        <w:rPr>
          <w:rFonts w:ascii="宋体" w:eastAsia="宋体" w:cs="宋体" w:hint="eastAsia"/>
        </w:rPr>
        <w:t>本公司</w:t>
      </w:r>
      <w:r w:rsidRPr="00DF1A8E">
        <w:rPr>
          <w:rFonts w:ascii="宋体" w:eastAsia="宋体" w:cs="宋体" w:hint="eastAsia"/>
        </w:rPr>
        <w:t>董事会。</w:t>
      </w:r>
    </w:p>
    <w:p w:rsidR="008A7D97" w:rsidRPr="00DF1A8E" w:rsidRDefault="008A7D97" w:rsidP="00DF1A8E">
      <w:pPr>
        <w:pStyle w:val="Default"/>
        <w:spacing w:line="520" w:lineRule="exact"/>
        <w:ind w:firstLineChars="200" w:firstLine="480"/>
        <w:jc w:val="both"/>
        <w:rPr>
          <w:rFonts w:ascii="宋体" w:eastAsia="宋体" w:cs="宋体"/>
        </w:rPr>
      </w:pPr>
      <w:r w:rsidRPr="00DF1A8E">
        <w:rPr>
          <w:rFonts w:ascii="宋体" w:eastAsia="宋体" w:cs="宋体" w:hint="eastAsia"/>
        </w:rPr>
        <w:t>收益计算方法如下：（最高卖出价-最低买入价）×当日短线交易股份</w:t>
      </w:r>
    </w:p>
    <w:p w:rsidR="008A7D97" w:rsidRPr="00DF1A8E" w:rsidRDefault="00DF1A8E" w:rsidP="00DF1A8E">
      <w:pPr>
        <w:pStyle w:val="Default"/>
        <w:spacing w:line="520" w:lineRule="exact"/>
        <w:ind w:firstLineChars="200" w:firstLine="480"/>
        <w:jc w:val="both"/>
        <w:rPr>
          <w:rFonts w:ascii="宋体" w:eastAsia="宋体" w:cs="宋体"/>
        </w:rPr>
      </w:pPr>
      <w:r>
        <w:rPr>
          <w:rFonts w:ascii="宋体" w:eastAsia="宋体" w:cs="宋体" w:hint="eastAsia"/>
        </w:rPr>
        <w:t>浙江新能</w:t>
      </w:r>
      <w:r w:rsidR="008A7D97" w:rsidRPr="00DF1A8E">
        <w:rPr>
          <w:rFonts w:ascii="宋体" w:eastAsia="宋体" w:cs="宋体" w:hint="eastAsia"/>
        </w:rPr>
        <w:t>于2022年6月29日卖出</w:t>
      </w:r>
      <w:r>
        <w:rPr>
          <w:rFonts w:ascii="宋体" w:eastAsia="宋体" w:cs="宋体" w:hint="eastAsia"/>
        </w:rPr>
        <w:t>本</w:t>
      </w:r>
      <w:r w:rsidR="008A7D97" w:rsidRPr="00DF1A8E">
        <w:rPr>
          <w:rFonts w:ascii="宋体" w:eastAsia="宋体" w:cs="宋体" w:hint="eastAsia"/>
        </w:rPr>
        <w:t>公司股票1,400,000股，最高卖出价16.16元/股，买入公司股票20,000股，最低买入价15.98元/股，短线交易产生收益3,600元。</w:t>
      </w:r>
    </w:p>
    <w:p w:rsidR="008A7D97" w:rsidRDefault="008A7D97" w:rsidP="00DF1A8E">
      <w:pPr>
        <w:pStyle w:val="Default"/>
        <w:spacing w:line="520" w:lineRule="exact"/>
        <w:ind w:firstLineChars="200" w:firstLine="480"/>
        <w:jc w:val="both"/>
        <w:rPr>
          <w:rFonts w:ascii="宋体" w:eastAsia="宋体" w:cs="宋体"/>
        </w:rPr>
      </w:pPr>
      <w:r w:rsidRPr="00DF1A8E">
        <w:rPr>
          <w:rFonts w:ascii="宋体" w:eastAsia="宋体" w:cs="宋体" w:hint="eastAsia"/>
        </w:rPr>
        <w:t>2、本次短线交易行为系误操作导致，不具有短线交易的主观故意。</w:t>
      </w:r>
      <w:r w:rsidR="00DF1A8E">
        <w:rPr>
          <w:rFonts w:ascii="宋体" w:eastAsia="宋体" w:cs="宋体" w:hint="eastAsia"/>
        </w:rPr>
        <w:t>浙江新能</w:t>
      </w:r>
      <w:r w:rsidRPr="00DF1A8E">
        <w:rPr>
          <w:rFonts w:ascii="宋体" w:eastAsia="宋体" w:cs="宋体" w:hint="eastAsia"/>
        </w:rPr>
        <w:t>已深刻认识到此次违规交易的严重性，就本次违规行为，向广大投资者致以诚挚的歉意。</w:t>
      </w:r>
      <w:r w:rsidR="00DF1A8E" w:rsidRPr="00DF1A8E">
        <w:rPr>
          <w:rFonts w:ascii="宋体" w:eastAsia="宋体" w:cs="宋体" w:hint="eastAsia"/>
        </w:rPr>
        <w:t>浙江新能</w:t>
      </w:r>
      <w:r w:rsidRPr="00DF1A8E">
        <w:rPr>
          <w:rFonts w:ascii="宋体" w:eastAsia="宋体" w:cs="宋体" w:hint="eastAsia"/>
        </w:rPr>
        <w:t>将以此为鉴，吸取教训，继续加强相关法律、法规的学习并严格遵守相关规定，规范股票交易行为，加强证券账户管理，谨慎操作，杜绝此类情况再次发生。</w:t>
      </w:r>
    </w:p>
    <w:p w:rsidR="00DF1A8E" w:rsidRDefault="00DF1A8E" w:rsidP="00DF1A8E">
      <w:pPr>
        <w:pStyle w:val="Default"/>
        <w:spacing w:line="520" w:lineRule="exact"/>
        <w:ind w:firstLineChars="200" w:firstLine="480"/>
        <w:jc w:val="both"/>
        <w:rPr>
          <w:rFonts w:ascii="宋体" w:eastAsia="宋体" w:cs="宋体"/>
        </w:rPr>
      </w:pPr>
      <w:r>
        <w:rPr>
          <w:rFonts w:ascii="宋体" w:eastAsia="宋体" w:cs="宋体" w:hint="eastAsia"/>
        </w:rPr>
        <w:t>特此公告。</w:t>
      </w:r>
    </w:p>
    <w:p w:rsidR="00DF1A8E" w:rsidRDefault="00DF1A8E" w:rsidP="00DF1A8E">
      <w:pPr>
        <w:pStyle w:val="Default"/>
        <w:spacing w:line="520" w:lineRule="exact"/>
        <w:ind w:firstLineChars="200" w:firstLine="480"/>
        <w:jc w:val="both"/>
        <w:rPr>
          <w:rFonts w:ascii="宋体" w:eastAsia="宋体" w:cs="宋体"/>
        </w:rPr>
      </w:pPr>
    </w:p>
    <w:p w:rsidR="00DF1A8E" w:rsidRDefault="00DF1A8E" w:rsidP="00DF1A8E">
      <w:pPr>
        <w:pStyle w:val="Default"/>
        <w:spacing w:line="520" w:lineRule="exact"/>
        <w:ind w:firstLineChars="200" w:firstLine="480"/>
        <w:jc w:val="both"/>
        <w:rPr>
          <w:rFonts w:ascii="宋体" w:eastAsia="宋体" w:cs="宋体"/>
        </w:rPr>
      </w:pPr>
    </w:p>
    <w:p w:rsidR="00DF1A8E" w:rsidRDefault="00DF1A8E" w:rsidP="00DF1A8E">
      <w:pPr>
        <w:pStyle w:val="Default"/>
        <w:spacing w:line="520" w:lineRule="exact"/>
        <w:ind w:firstLineChars="200" w:firstLine="480"/>
        <w:jc w:val="both"/>
        <w:rPr>
          <w:rFonts w:ascii="宋体" w:eastAsia="宋体" w:cs="宋体"/>
        </w:rPr>
      </w:pPr>
    </w:p>
    <w:p w:rsidR="00DF1A8E" w:rsidRPr="00DF1A8E" w:rsidRDefault="00DF1A8E" w:rsidP="00DF1A8E">
      <w:pPr>
        <w:pStyle w:val="Default"/>
        <w:spacing w:line="520" w:lineRule="exact"/>
        <w:ind w:firstLineChars="200" w:firstLine="480"/>
        <w:jc w:val="both"/>
        <w:rPr>
          <w:rFonts w:ascii="宋体" w:eastAsia="宋体" w:cs="宋体"/>
        </w:rPr>
      </w:pPr>
      <w:r>
        <w:rPr>
          <w:rFonts w:ascii="宋体" w:eastAsia="宋体" w:cs="宋体" w:hint="eastAsia"/>
        </w:rPr>
        <w:t xml:space="preserve"> </w:t>
      </w:r>
      <w:r>
        <w:rPr>
          <w:rFonts w:ascii="宋体" w:eastAsia="宋体" w:cs="宋体"/>
        </w:rPr>
        <w:t xml:space="preserve">                                 </w:t>
      </w:r>
      <w:r>
        <w:rPr>
          <w:rFonts w:ascii="宋体" w:eastAsia="宋体" w:cs="宋体" w:hint="eastAsia"/>
        </w:rPr>
        <w:t>钱江水利开发股份有限公司董事会</w:t>
      </w:r>
    </w:p>
    <w:p w:rsidR="008A7D97" w:rsidRPr="00DF1A8E" w:rsidRDefault="00DF1A8E" w:rsidP="00DF1A8E">
      <w:pPr>
        <w:pStyle w:val="Default"/>
        <w:spacing w:line="420" w:lineRule="exact"/>
        <w:jc w:val="both"/>
        <w:rPr>
          <w:rFonts w:ascii="宋体" w:eastAsia="宋体" w:cs="宋体"/>
        </w:rPr>
      </w:pPr>
      <w:r>
        <w:rPr>
          <w:rFonts w:ascii="宋体" w:eastAsia="宋体" w:cs="宋体" w:hint="eastAsia"/>
        </w:rPr>
        <w:t xml:space="preserve"> </w:t>
      </w:r>
      <w:r>
        <w:rPr>
          <w:rFonts w:ascii="宋体" w:eastAsia="宋体" w:cs="宋体"/>
        </w:rPr>
        <w:t xml:space="preserve">                                               2022</w:t>
      </w:r>
      <w:r>
        <w:rPr>
          <w:rFonts w:ascii="宋体" w:eastAsia="宋体" w:cs="宋体" w:hint="eastAsia"/>
        </w:rPr>
        <w:t>年6月3</w:t>
      </w:r>
      <w:r>
        <w:rPr>
          <w:rFonts w:ascii="宋体" w:eastAsia="宋体" w:cs="宋体"/>
        </w:rPr>
        <w:t>0</w:t>
      </w:r>
      <w:r w:rsidR="00C516D0">
        <w:rPr>
          <w:rFonts w:ascii="宋体" w:eastAsia="宋体" w:cs="宋体" w:hint="eastAsia"/>
        </w:rPr>
        <w:t>日</w:t>
      </w:r>
    </w:p>
    <w:p w:rsidR="008A7D97" w:rsidRPr="00DF1A8E" w:rsidRDefault="008A7D97" w:rsidP="00DF1A8E">
      <w:pPr>
        <w:pStyle w:val="Default"/>
        <w:spacing w:line="420" w:lineRule="exact"/>
        <w:ind w:firstLineChars="200" w:firstLine="480"/>
        <w:jc w:val="both"/>
        <w:rPr>
          <w:rFonts w:ascii="宋体" w:eastAsia="宋体" w:cs="宋体"/>
        </w:rPr>
      </w:pPr>
    </w:p>
    <w:p w:rsidR="00D1337C" w:rsidRPr="00DC31A7" w:rsidRDefault="00D1337C"/>
    <w:sectPr w:rsidR="00D1337C" w:rsidRPr="00DC31A7">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2C31" w:rsidRDefault="00CB2C31" w:rsidP="00DC31A7">
      <w:r>
        <w:separator/>
      </w:r>
    </w:p>
  </w:endnote>
  <w:endnote w:type="continuationSeparator" w:id="0">
    <w:p w:rsidR="00CB2C31" w:rsidRDefault="00CB2C31" w:rsidP="00DC31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8401583"/>
      <w:docPartObj>
        <w:docPartGallery w:val="Page Numbers (Bottom of Page)"/>
        <w:docPartUnique/>
      </w:docPartObj>
    </w:sdtPr>
    <w:sdtEndPr/>
    <w:sdtContent>
      <w:p w:rsidR="00CD3762" w:rsidRDefault="00CD3762">
        <w:pPr>
          <w:pStyle w:val="a5"/>
          <w:jc w:val="center"/>
        </w:pPr>
        <w:r>
          <w:fldChar w:fldCharType="begin"/>
        </w:r>
        <w:r>
          <w:instrText>PAGE   \* MERGEFORMAT</w:instrText>
        </w:r>
        <w:r>
          <w:fldChar w:fldCharType="separate"/>
        </w:r>
        <w:r w:rsidR="008D2600" w:rsidRPr="008D2600">
          <w:rPr>
            <w:noProof/>
            <w:lang w:val="zh-CN"/>
          </w:rPr>
          <w:t>2</w:t>
        </w:r>
        <w:r>
          <w:fldChar w:fldCharType="end"/>
        </w:r>
      </w:p>
    </w:sdtContent>
  </w:sdt>
  <w:p w:rsidR="00CD3762" w:rsidRDefault="00CD3762">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2C31" w:rsidRDefault="00CB2C31" w:rsidP="00DC31A7">
      <w:r>
        <w:separator/>
      </w:r>
    </w:p>
  </w:footnote>
  <w:footnote w:type="continuationSeparator" w:id="0">
    <w:p w:rsidR="00CB2C31" w:rsidRDefault="00CB2C31" w:rsidP="00DC31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42C"/>
    <w:rsid w:val="00007634"/>
    <w:rsid w:val="000B1EC5"/>
    <w:rsid w:val="000B68D5"/>
    <w:rsid w:val="0013542C"/>
    <w:rsid w:val="001B0BAA"/>
    <w:rsid w:val="003663A6"/>
    <w:rsid w:val="00473637"/>
    <w:rsid w:val="004B7CDE"/>
    <w:rsid w:val="0056147F"/>
    <w:rsid w:val="006C7447"/>
    <w:rsid w:val="00781A4C"/>
    <w:rsid w:val="00794696"/>
    <w:rsid w:val="007E2BE8"/>
    <w:rsid w:val="007E7659"/>
    <w:rsid w:val="007F4EAB"/>
    <w:rsid w:val="008A7D97"/>
    <w:rsid w:val="008D2600"/>
    <w:rsid w:val="009B3FE3"/>
    <w:rsid w:val="009F4FFD"/>
    <w:rsid w:val="00A96267"/>
    <w:rsid w:val="00B122F8"/>
    <w:rsid w:val="00B513AE"/>
    <w:rsid w:val="00B648DC"/>
    <w:rsid w:val="00B925DF"/>
    <w:rsid w:val="00C12C1C"/>
    <w:rsid w:val="00C516D0"/>
    <w:rsid w:val="00CA51F5"/>
    <w:rsid w:val="00CB2C31"/>
    <w:rsid w:val="00CD3762"/>
    <w:rsid w:val="00D1337C"/>
    <w:rsid w:val="00DC31A7"/>
    <w:rsid w:val="00DF1A8E"/>
    <w:rsid w:val="00EE7665"/>
    <w:rsid w:val="00F962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71D629"/>
  <w15:chartTrackingRefBased/>
  <w15:docId w15:val="{D41AD197-DD47-47D1-A912-BE5E71A49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31A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C31A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C31A7"/>
    <w:rPr>
      <w:sz w:val="18"/>
      <w:szCs w:val="18"/>
    </w:rPr>
  </w:style>
  <w:style w:type="paragraph" w:styleId="a5">
    <w:name w:val="footer"/>
    <w:basedOn w:val="a"/>
    <w:link w:val="a6"/>
    <w:uiPriority w:val="99"/>
    <w:unhideWhenUsed/>
    <w:rsid w:val="00DC31A7"/>
    <w:pPr>
      <w:tabs>
        <w:tab w:val="center" w:pos="4153"/>
        <w:tab w:val="right" w:pos="8306"/>
      </w:tabs>
      <w:snapToGrid w:val="0"/>
      <w:jc w:val="left"/>
    </w:pPr>
    <w:rPr>
      <w:sz w:val="18"/>
      <w:szCs w:val="18"/>
    </w:rPr>
  </w:style>
  <w:style w:type="character" w:customStyle="1" w:styleId="a6">
    <w:name w:val="页脚 字符"/>
    <w:basedOn w:val="a0"/>
    <w:link w:val="a5"/>
    <w:uiPriority w:val="99"/>
    <w:rsid w:val="00DC31A7"/>
    <w:rPr>
      <w:sz w:val="18"/>
      <w:szCs w:val="18"/>
    </w:rPr>
  </w:style>
  <w:style w:type="paragraph" w:customStyle="1" w:styleId="Default">
    <w:name w:val="Default"/>
    <w:rsid w:val="00DC31A7"/>
    <w:pPr>
      <w:widowControl w:val="0"/>
      <w:autoSpaceDE w:val="0"/>
      <w:autoSpaceDN w:val="0"/>
      <w:adjustRightInd w:val="0"/>
    </w:pPr>
    <w:rPr>
      <w:rFonts w:ascii="Times New Roman" w:hAnsi="Times New Roman" w:cs="Times New Roman"/>
      <w:color w:val="000000"/>
      <w:kern w:val="0"/>
      <w:sz w:val="24"/>
      <w:szCs w:val="24"/>
    </w:rPr>
  </w:style>
  <w:style w:type="table" w:styleId="a7">
    <w:name w:val="Table Grid"/>
    <w:basedOn w:val="a1"/>
    <w:uiPriority w:val="59"/>
    <w:rsid w:val="008A7D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8A7D97"/>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211</Words>
  <Characters>1204</Characters>
  <Application>Microsoft Office Word</Application>
  <DocSecurity>0</DocSecurity>
  <Lines>10</Lines>
  <Paragraphs>2</Paragraphs>
  <ScaleCrop>false</ScaleCrop>
  <Company/>
  <LinksUpToDate>false</LinksUpToDate>
  <CharactersWithSpaces>1413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杨文红</dc:creator>
  <cp:keywords/>
  <dc:description/>
  <cp:lastModifiedBy>杨文红</cp:lastModifiedBy>
  <cp:revision>7</cp:revision>
  <dcterms:created xsi:type="dcterms:W3CDTF">2022-06-29T08:22:00Z</dcterms:created>
  <dcterms:modified xsi:type="dcterms:W3CDTF">2022-06-29T08:56:00Z</dcterms:modified>
</cp:coreProperties>
</file>