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2891" w14:textId="0C0501B2" w:rsidR="00CE29F7" w:rsidRPr="00CE29F7" w:rsidRDefault="00F05CB1" w:rsidP="00637587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证券代码：600283    证券简称：钱江水利     公告编号：临</w:t>
      </w:r>
      <w:r w:rsidR="00ED17F9">
        <w:rPr>
          <w:rFonts w:ascii="宋体" w:hAnsi="宋体" w:hint="eastAsia"/>
          <w:sz w:val="24"/>
        </w:rPr>
        <w:t>20</w:t>
      </w:r>
      <w:r w:rsidR="007F2441">
        <w:rPr>
          <w:rFonts w:ascii="宋体" w:hAnsi="宋体"/>
          <w:sz w:val="24"/>
        </w:rPr>
        <w:t>2</w:t>
      </w:r>
      <w:r w:rsidR="0031759F">
        <w:rPr>
          <w:rFonts w:ascii="宋体" w:hAnsi="宋体"/>
          <w:sz w:val="24"/>
        </w:rPr>
        <w:t>2</w:t>
      </w:r>
      <w:r w:rsidR="00FD4C28">
        <w:rPr>
          <w:rFonts w:ascii="宋体" w:hAnsi="宋体" w:hint="eastAsia"/>
          <w:sz w:val="24"/>
        </w:rPr>
        <w:t>-0</w:t>
      </w:r>
      <w:r w:rsidR="004C6D1E">
        <w:rPr>
          <w:rFonts w:ascii="宋体" w:hAnsi="宋体"/>
          <w:sz w:val="24"/>
        </w:rPr>
        <w:t>4</w:t>
      </w:r>
      <w:r w:rsidR="00CE29F7">
        <w:rPr>
          <w:rFonts w:ascii="宋体" w:hAnsi="宋体"/>
          <w:sz w:val="24"/>
        </w:rPr>
        <w:t>3</w:t>
      </w:r>
    </w:p>
    <w:p w14:paraId="72A8D10D" w14:textId="77777777" w:rsidR="007F2441" w:rsidRDefault="007F2441" w:rsidP="00637587">
      <w:pPr>
        <w:autoSpaceDE w:val="0"/>
        <w:autoSpaceDN w:val="0"/>
        <w:adjustRightInd w:val="0"/>
        <w:ind w:firstLineChars="200" w:firstLine="640"/>
        <w:jc w:val="center"/>
        <w:rPr>
          <w:rFonts w:ascii="仿宋_GB2312-WinCharSetFFFF-H" w:eastAsia="仿宋_GB2312-WinCharSetFFFF-H" w:cs="仿宋_GB2312-WinCharSetFFFF-H"/>
          <w:color w:val="FF0000"/>
          <w:kern w:val="0"/>
          <w:sz w:val="32"/>
          <w:szCs w:val="32"/>
        </w:rPr>
      </w:pPr>
    </w:p>
    <w:p w14:paraId="3D8ECDDA" w14:textId="7F25A567" w:rsidR="00F05CB1" w:rsidRDefault="00F05CB1" w:rsidP="00637587">
      <w:pPr>
        <w:autoSpaceDE w:val="0"/>
        <w:autoSpaceDN w:val="0"/>
        <w:adjustRightInd w:val="0"/>
        <w:ind w:firstLineChars="200" w:firstLine="640"/>
        <w:jc w:val="center"/>
        <w:rPr>
          <w:rFonts w:ascii="仿宋_GB2312-WinCharSetFFFF-H" w:eastAsia="仿宋_GB2312-WinCharSetFFFF-H" w:cs="仿宋_GB2312-WinCharSetFFFF-H"/>
          <w:color w:val="FF0000"/>
          <w:kern w:val="0"/>
          <w:sz w:val="32"/>
          <w:szCs w:val="32"/>
        </w:rPr>
      </w:pPr>
      <w:r>
        <w:rPr>
          <w:rFonts w:ascii="仿宋_GB2312-WinCharSetFFFF-H" w:eastAsia="仿宋_GB2312-WinCharSetFFFF-H" w:cs="仿宋_GB2312-WinCharSetFFFF-H" w:hint="eastAsia"/>
          <w:color w:val="FF0000"/>
          <w:kern w:val="0"/>
          <w:sz w:val="32"/>
          <w:szCs w:val="32"/>
        </w:rPr>
        <w:t>钱江水利开发股份有限公司为控股子公司</w:t>
      </w:r>
      <w:r w:rsidR="004C6D1E" w:rsidRPr="004C6D1E">
        <w:rPr>
          <w:rFonts w:ascii="仿宋_GB2312-WinCharSetFFFF-H" w:eastAsia="仿宋_GB2312-WinCharSetFFFF-H" w:cs="仿宋_GB2312-WinCharSetFFFF-H" w:hint="eastAsia"/>
          <w:color w:val="FF0000"/>
          <w:kern w:val="0"/>
          <w:sz w:val="32"/>
          <w:szCs w:val="32"/>
        </w:rPr>
        <w:t>福州钱水水务有限公司</w:t>
      </w:r>
      <w:r>
        <w:rPr>
          <w:rFonts w:ascii="仿宋_GB2312-WinCharSetFFFF-H" w:eastAsia="仿宋_GB2312-WinCharSetFFFF-H" w:cs="仿宋_GB2312-WinCharSetFFFF-H" w:hint="eastAsia"/>
          <w:color w:val="FF0000"/>
          <w:kern w:val="0"/>
          <w:sz w:val="32"/>
          <w:szCs w:val="32"/>
        </w:rPr>
        <w:t>提供担保的公告</w:t>
      </w:r>
    </w:p>
    <w:p w14:paraId="2A7BEAC8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EEAB22D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重要内容提示：</w:t>
      </w:r>
    </w:p>
    <w:p w14:paraId="3CC2590A" w14:textId="4C329C74" w:rsidR="00EB04ED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●被担保人：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福州钱水水务有限公司</w:t>
      </w:r>
      <w:r w:rsidR="0031759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；</w:t>
      </w:r>
    </w:p>
    <w:p w14:paraId="06DEB5AB" w14:textId="5AA9CAEB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●本次为其担保计划金额：</w:t>
      </w:r>
      <w:r w:rsidR="0084762A">
        <w:rPr>
          <w:rFonts w:asciiTheme="minorEastAsia" w:eastAsiaTheme="minorEastAsia" w:hAnsiTheme="minorEastAsia" w:cs="仿宋_GB2312-WinCharSetFFFF-H"/>
          <w:kern w:val="0"/>
          <w:sz w:val="24"/>
        </w:rPr>
        <w:t>2.2</w:t>
      </w:r>
      <w:r w:rsidR="00CD68AE" w:rsidRPr="00946969">
        <w:rPr>
          <w:rFonts w:asciiTheme="minorEastAsia" w:eastAsiaTheme="minorEastAsia" w:hAnsiTheme="minorEastAsia" w:cs="仿宋_GB2312-WinCharSetFFFF-H" w:hint="eastAsia"/>
          <w:kern w:val="0"/>
          <w:sz w:val="24"/>
        </w:rPr>
        <w:t>亿元</w:t>
      </w:r>
      <w:r w:rsidRPr="00946969">
        <w:rPr>
          <w:rFonts w:asciiTheme="minorEastAsia" w:eastAsiaTheme="minorEastAsia" w:hAnsiTheme="minorEastAsia" w:cs="仿宋_GB2312-WinCharSetFFFF-H" w:hint="eastAsia"/>
          <w:kern w:val="0"/>
          <w:sz w:val="24"/>
        </w:rPr>
        <w:t>人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民币；</w:t>
      </w:r>
    </w:p>
    <w:p w14:paraId="28EC1D37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●本次无反担保；</w:t>
      </w:r>
    </w:p>
    <w:p w14:paraId="05299463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●公司无逾期对外担保。</w:t>
      </w:r>
    </w:p>
    <w:p w14:paraId="272E3F6E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一、担保情况概述</w:t>
      </w:r>
    </w:p>
    <w:p w14:paraId="344431E8" w14:textId="7C0A2E79" w:rsidR="00CD68AE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钱江水利开发股份有限公司（以下简称“公司”）</w:t>
      </w:r>
      <w:r w:rsidR="00C7387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七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届</w:t>
      </w:r>
      <w:r w:rsidR="0031759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五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次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临时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董事会审议并通过了《关于公司</w:t>
      </w:r>
      <w:r w:rsidR="0084762A" w:rsidRP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202</w:t>
      </w:r>
      <w:r w:rsidR="0084762A" w:rsidRP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84762A" w:rsidRP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年为控股子公司福州钱水水务有限公司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提供担保的议案》，表决结果为</w:t>
      </w:r>
      <w:r w:rsidR="0031759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8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 xml:space="preserve"> 票赞成，0 票反对，0 票弃权。</w:t>
      </w:r>
      <w:r w:rsidR="00B100D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公司拟</w:t>
      </w:r>
      <w:r w:rsidR="0084762A" w:rsidRP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为其提供不超过二十四年的借款担保</w:t>
      </w:r>
      <w:r w:rsidR="0084762A" w:rsidRP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2.2</w:t>
      </w:r>
      <w:r w:rsidR="0084762A" w:rsidRP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亿元。</w:t>
      </w:r>
      <w:r w:rsidR="00B100D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。</w:t>
      </w:r>
    </w:p>
    <w:p w14:paraId="373B6E0B" w14:textId="27848858" w:rsidR="00B100D1" w:rsidRPr="00946969" w:rsidRDefault="00B100D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根据《上海证券交易所上市规则》及《公司章程》的相关规定，本项议案需提交公司</w:t>
      </w:r>
      <w:r w:rsidR="00EB04E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EB04ED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CD68A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第二次临时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股东大会审议。公司在上述额度内提供连带责任担保，并授权公司董事长签署担保协议等相关法律文书，本授权有效期至下一年度股东大会召开日止。</w:t>
      </w:r>
    </w:p>
    <w:p w14:paraId="7DF970E3" w14:textId="77777777" w:rsidR="000B5BEC" w:rsidRPr="00946969" w:rsidRDefault="00F05CB1" w:rsidP="0031759F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 xml:space="preserve">    二、被担保人基本情况</w:t>
      </w:r>
    </w:p>
    <w:p w14:paraId="656CACF3" w14:textId="424C1672" w:rsidR="00C7387E" w:rsidRPr="00946969" w:rsidRDefault="0031759F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="00C7387E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福州钱水水务有限公司</w:t>
      </w:r>
    </w:p>
    <w:p w14:paraId="1533C31E" w14:textId="7DF30208" w:rsidR="00946261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住所：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福建省福州市福清市</w:t>
      </w:r>
      <w:proofErr w:type="gramStart"/>
      <w:r w:rsidR="00D7386B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江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阴镇港前路口岸</w:t>
      </w:r>
      <w:proofErr w:type="gramEnd"/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服务中心大楼2层</w:t>
      </w:r>
    </w:p>
    <w:p w14:paraId="7DD10B65" w14:textId="38556450"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公司类型：有限责任公司</w:t>
      </w:r>
    </w:p>
    <w:p w14:paraId="57AF160E" w14:textId="1EDD9733" w:rsidR="008B61DC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统一社会信用代码：</w:t>
      </w:r>
      <w:r w:rsid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91350181MABTWY2W5F</w:t>
      </w:r>
    </w:p>
    <w:p w14:paraId="72EDF45E" w14:textId="32473E85"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注册资本：</w:t>
      </w:r>
      <w:r w:rsid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9,000</w:t>
      </w:r>
      <w:r w:rsidR="00933433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元人民币</w:t>
      </w:r>
    </w:p>
    <w:p w14:paraId="2DC4BFD2" w14:textId="24DA8ED0"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法定代表人：</w:t>
      </w:r>
      <w:r w:rsidR="0084762A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俞一帆</w:t>
      </w:r>
    </w:p>
    <w:p w14:paraId="6FFFB6EC" w14:textId="210A8ABA"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成立日期：</w:t>
      </w:r>
      <w:r w:rsid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2022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</w:t>
      </w:r>
      <w:r w:rsid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7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月</w:t>
      </w:r>
      <w:r w:rsidR="0084762A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25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日</w:t>
      </w:r>
    </w:p>
    <w:p w14:paraId="0B0946EF" w14:textId="77777777" w:rsidR="00D7386B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主要经营范围：</w:t>
      </w:r>
      <w:r w:rsidR="00D7386B" w:rsidRPr="00D7386B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一般项目：污水处理及其再生利用；固体废物治理；环境保护专用设备制造；环境保护专用设备销售；工程管理服务；建筑材料销售；新型建筑材料制造（不含危险化学品）；轻质建筑材料销售；化工产品生产（不含许可类化工产品）；化工产品销售（不含许可类化工产品）；水利相关</w:t>
      </w:r>
      <w:r w:rsidR="00D7386B" w:rsidRPr="00D7386B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lastRenderedPageBreak/>
        <w:t>咨询服务。（除依法须经批准的项目外，凭营业执照依法自主开展经营活动）许可项目：自来水生产与供应；建设工程设计；发电业务、输电业务、供（配）电业务；建设工程施工；检验检测服务。（依法须经批准的项目，经相关部门批准后方可开展经营活动，具体经营项目以相关部门批准文件或许可证件为准）</w:t>
      </w:r>
    </w:p>
    <w:p w14:paraId="2D8C0E50" w14:textId="6E94B709"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与本公司关系：系本公司的控股子公司。公司持有股份</w:t>
      </w:r>
      <w:r w:rsidR="00EB13D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95.9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%。</w:t>
      </w:r>
    </w:p>
    <w:p w14:paraId="01A33390" w14:textId="77777777" w:rsidR="0031759F" w:rsidRDefault="0031759F" w:rsidP="00D8796F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6CFDC066" w14:textId="77777777" w:rsidR="00F05CB1" w:rsidRPr="00DC602C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DC602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三、担保的主要内容</w:t>
      </w:r>
    </w:p>
    <w:p w14:paraId="50ADAC02" w14:textId="390E7CAB" w:rsidR="005D4C09" w:rsidRPr="000B5BEC" w:rsidRDefault="00EE2C28" w:rsidP="00EB13D7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DC602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1、</w:t>
      </w:r>
      <w:r w:rsidR="00EB13D7" w:rsidRPr="00EB13D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为满足</w:t>
      </w:r>
      <w:r w:rsidR="00EB13D7" w:rsidRPr="00EB13D7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控股子公司福州钱水水务有限公司</w:t>
      </w:r>
      <w:r w:rsidR="00EB13D7" w:rsidRPr="00EB13D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项目建设资金需求，</w:t>
      </w:r>
      <w:r w:rsidR="00EB13D7" w:rsidRPr="00EB13D7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公司计划为其提供不超过二十四年的借款担保</w:t>
      </w:r>
      <w:r w:rsidR="00EB13D7" w:rsidRPr="00EB13D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2.2</w:t>
      </w:r>
      <w:r w:rsidR="00EB13D7" w:rsidRPr="00EB13D7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亿元。</w:t>
      </w:r>
    </w:p>
    <w:p w14:paraId="31AC9AB3" w14:textId="77777777" w:rsidR="00B030E4" w:rsidRPr="00EB04ED" w:rsidRDefault="00B030E4" w:rsidP="00030BA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45B793ED" w14:textId="77777777" w:rsidR="00F05CB1" w:rsidRPr="00946969" w:rsidRDefault="00F05CB1" w:rsidP="00030BA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四、董事会意见</w:t>
      </w:r>
    </w:p>
    <w:p w14:paraId="2EB2CF34" w14:textId="379D0ABC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公司董事会对上述担保事宜进行了充分论证，参会董事认为：控股子公司</w:t>
      </w:r>
      <w:r w:rsidR="00A74783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福州钱水水务有限公司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借款资金主要用于</w:t>
      </w:r>
      <w:r w:rsidR="00EB13D7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项目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建设</w:t>
      </w:r>
      <w:r w:rsidR="00A74783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需要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，属于公司资金合理经营需要，在风险可控前提下，公司为其提供贷款担保未损害公司股东利益。</w:t>
      </w:r>
    </w:p>
    <w:p w14:paraId="1CC3CB25" w14:textId="77777777" w:rsidR="00B030E4" w:rsidRDefault="00B030E4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1E550856" w14:textId="77777777" w:rsidR="00242ED7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五、</w:t>
      </w:r>
      <w:r w:rsidR="00242ED7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独立董事意见</w:t>
      </w:r>
    </w:p>
    <w:p w14:paraId="3F2D8011" w14:textId="77777777" w:rsidR="00242ED7" w:rsidRPr="00946969" w:rsidRDefault="00A51A73" w:rsidP="00946969">
      <w:pPr>
        <w:spacing w:line="400" w:lineRule="exact"/>
        <w:ind w:firstLineChars="200" w:firstLine="480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公司独立董事认为：公司能够严格执行国家法律法规和相关监管部门的规定，不存在违规担保行为，切实维护了公司和全体股东的利益。</w:t>
      </w:r>
    </w:p>
    <w:p w14:paraId="4F96E830" w14:textId="77777777" w:rsidR="00B030E4" w:rsidRDefault="00B030E4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6B56555F" w14:textId="701BF77D" w:rsidR="00F05CB1" w:rsidRPr="00064B5D" w:rsidRDefault="00242ED7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六、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截止</w:t>
      </w:r>
      <w:r w:rsidR="000B5BE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A85D3E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22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</w:t>
      </w:r>
      <w:r w:rsidR="00A85D3E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6月3</w:t>
      </w:r>
      <w:r w:rsidR="00A85D3E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0</w:t>
      </w:r>
      <w:r w:rsidR="00A85D3E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日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，本公司累计担保</w:t>
      </w:r>
      <w:r w:rsidR="00FD304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余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额为</w:t>
      </w:r>
      <w:r w:rsidR="004F4613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55,101</w:t>
      </w:r>
      <w:r w:rsidR="00E92570" w:rsidRPr="00E92570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.</w:t>
      </w:r>
      <w:r w:rsidR="004F4613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52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万元人民币，占公司最近一期净资产的</w:t>
      </w:r>
      <w:r w:rsidR="004F4613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26.11</w:t>
      </w:r>
      <w:r w:rsidR="00F05CB1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%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，无逾期担保。</w:t>
      </w:r>
    </w:p>
    <w:p w14:paraId="6A1618D7" w14:textId="77777777" w:rsidR="00B030E4" w:rsidRPr="00C116CF" w:rsidRDefault="00B030E4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FF0000"/>
          <w:kern w:val="0"/>
          <w:sz w:val="24"/>
        </w:rPr>
      </w:pPr>
    </w:p>
    <w:p w14:paraId="6CC3EFB5" w14:textId="77777777" w:rsidR="00F05CB1" w:rsidRPr="00946969" w:rsidRDefault="00242ED7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七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、备查文件</w:t>
      </w:r>
    </w:p>
    <w:p w14:paraId="33CFD968" w14:textId="06F8EBED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1</w:t>
      </w:r>
      <w:r w:rsidR="00FD4C28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、公司</w:t>
      </w:r>
      <w:r w:rsidR="000B5BE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七届</w:t>
      </w:r>
      <w:r w:rsidR="00EB13D7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五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次</w:t>
      </w:r>
      <w:r w:rsidR="00EB13D7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临时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董事会决议；</w:t>
      </w:r>
    </w:p>
    <w:p w14:paraId="47D43EED" w14:textId="77777777" w:rsidR="00242ED7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2、</w:t>
      </w:r>
      <w:r w:rsidR="00242ED7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独立董事意见；</w:t>
      </w:r>
    </w:p>
    <w:p w14:paraId="347EE343" w14:textId="167F8A10" w:rsidR="00F05CB1" w:rsidRPr="00946969" w:rsidRDefault="00242ED7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3、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被担保人的基本情况。</w:t>
      </w:r>
    </w:p>
    <w:p w14:paraId="02E16107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特此公告。</w:t>
      </w:r>
    </w:p>
    <w:p w14:paraId="1B53FB4C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100" w:firstLine="264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7FDC5D76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100" w:firstLine="264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43FA7A51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100" w:firstLine="264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14:paraId="7B335867" w14:textId="77777777"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450" w:firstLine="3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钱江水利开发股份有限公司董事会</w:t>
      </w:r>
    </w:p>
    <w:p w14:paraId="6B8520BD" w14:textId="02035272" w:rsidR="00DD0D7C" w:rsidRPr="005846F1" w:rsidRDefault="00245909" w:rsidP="005846F1">
      <w:pPr>
        <w:autoSpaceDE w:val="0"/>
        <w:autoSpaceDN w:val="0"/>
        <w:adjustRightInd w:val="0"/>
        <w:spacing w:line="400" w:lineRule="exact"/>
        <w:ind w:firstLineChars="1900" w:firstLine="456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0B5BEC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E92570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</w:t>
      </w:r>
      <w:r w:rsidR="00EB13D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9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月</w:t>
      </w:r>
      <w:r w:rsidR="00EB13D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3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日</w:t>
      </w:r>
    </w:p>
    <w:sectPr w:rsidR="00DD0D7C" w:rsidRPr="005846F1" w:rsidSect="00DD0D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9DCE" w14:textId="77777777" w:rsidR="007B0FB9" w:rsidRDefault="007B0FB9" w:rsidP="00B100D1">
      <w:r>
        <w:separator/>
      </w:r>
    </w:p>
  </w:endnote>
  <w:endnote w:type="continuationSeparator" w:id="0">
    <w:p w14:paraId="41FC88B2" w14:textId="77777777" w:rsidR="007B0FB9" w:rsidRDefault="007B0FB9" w:rsidP="00B1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-WinCharSetFFFF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166"/>
      <w:docPartObj>
        <w:docPartGallery w:val="Page Numbers (Bottom of Page)"/>
        <w:docPartUnique/>
      </w:docPartObj>
    </w:sdtPr>
    <w:sdtEndPr/>
    <w:sdtContent>
      <w:p w14:paraId="7CCC761D" w14:textId="77777777" w:rsidR="00FD4C28" w:rsidRDefault="00550168">
        <w:pPr>
          <w:pStyle w:val="a6"/>
          <w:jc w:val="center"/>
        </w:pPr>
        <w:r>
          <w:fldChar w:fldCharType="begin"/>
        </w:r>
        <w:r w:rsidR="005D4E5B">
          <w:instrText xml:space="preserve"> PAGE   \* MERGEFORMAT </w:instrText>
        </w:r>
        <w:r>
          <w:fldChar w:fldCharType="separate"/>
        </w:r>
        <w:r w:rsidR="000324E1" w:rsidRPr="000324E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ADC2820" w14:textId="77777777" w:rsidR="00FD4C28" w:rsidRDefault="00FD4C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6DD3" w14:textId="77777777" w:rsidR="007B0FB9" w:rsidRDefault="007B0FB9" w:rsidP="00B100D1">
      <w:r>
        <w:separator/>
      </w:r>
    </w:p>
  </w:footnote>
  <w:footnote w:type="continuationSeparator" w:id="0">
    <w:p w14:paraId="2AAC3998" w14:textId="77777777" w:rsidR="007B0FB9" w:rsidRDefault="007B0FB9" w:rsidP="00B1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 w16cid:durableId="1603370485">
    <w:abstractNumId w:val="1"/>
    <w:lvlOverride w:ilvl="0">
      <w:startOverride w:val="1"/>
    </w:lvlOverride>
  </w:num>
  <w:num w:numId="2" w16cid:durableId="2086610687">
    <w:abstractNumId w:val="1"/>
  </w:num>
  <w:num w:numId="3" w16cid:durableId="4518719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B1"/>
    <w:rsid w:val="00016382"/>
    <w:rsid w:val="00030BA3"/>
    <w:rsid w:val="000324E1"/>
    <w:rsid w:val="00050EE3"/>
    <w:rsid w:val="00053069"/>
    <w:rsid w:val="0005451F"/>
    <w:rsid w:val="00056213"/>
    <w:rsid w:val="00064B5D"/>
    <w:rsid w:val="00064ED6"/>
    <w:rsid w:val="00065EE1"/>
    <w:rsid w:val="00065F8C"/>
    <w:rsid w:val="000742B7"/>
    <w:rsid w:val="00077C14"/>
    <w:rsid w:val="00082460"/>
    <w:rsid w:val="00090B5D"/>
    <w:rsid w:val="000B5BEC"/>
    <w:rsid w:val="000C3DCC"/>
    <w:rsid w:val="000D657C"/>
    <w:rsid w:val="000D6C04"/>
    <w:rsid w:val="000E31CA"/>
    <w:rsid w:val="000F153B"/>
    <w:rsid w:val="001000C1"/>
    <w:rsid w:val="00100509"/>
    <w:rsid w:val="0010599C"/>
    <w:rsid w:val="00111BC5"/>
    <w:rsid w:val="0011234D"/>
    <w:rsid w:val="001129B0"/>
    <w:rsid w:val="0012399E"/>
    <w:rsid w:val="00123C21"/>
    <w:rsid w:val="00130FAB"/>
    <w:rsid w:val="001314AD"/>
    <w:rsid w:val="0013161B"/>
    <w:rsid w:val="00131C37"/>
    <w:rsid w:val="0014049A"/>
    <w:rsid w:val="00163628"/>
    <w:rsid w:val="00181F3E"/>
    <w:rsid w:val="001A197D"/>
    <w:rsid w:val="001B2067"/>
    <w:rsid w:val="001C2DB3"/>
    <w:rsid w:val="001C4ACD"/>
    <w:rsid w:val="001D3285"/>
    <w:rsid w:val="001E7BD2"/>
    <w:rsid w:val="001F5282"/>
    <w:rsid w:val="00207632"/>
    <w:rsid w:val="00210AC3"/>
    <w:rsid w:val="0021150E"/>
    <w:rsid w:val="00215826"/>
    <w:rsid w:val="00220537"/>
    <w:rsid w:val="00220C3E"/>
    <w:rsid w:val="002272A2"/>
    <w:rsid w:val="00230A29"/>
    <w:rsid w:val="00235313"/>
    <w:rsid w:val="00242ED7"/>
    <w:rsid w:val="00245909"/>
    <w:rsid w:val="00247990"/>
    <w:rsid w:val="00253802"/>
    <w:rsid w:val="00253C91"/>
    <w:rsid w:val="0027008F"/>
    <w:rsid w:val="0027113D"/>
    <w:rsid w:val="00272DDC"/>
    <w:rsid w:val="00283988"/>
    <w:rsid w:val="00286769"/>
    <w:rsid w:val="00295DA3"/>
    <w:rsid w:val="00296FCE"/>
    <w:rsid w:val="002B0085"/>
    <w:rsid w:val="002C03DC"/>
    <w:rsid w:val="002C2C87"/>
    <w:rsid w:val="002C322E"/>
    <w:rsid w:val="002D2C38"/>
    <w:rsid w:val="002E140D"/>
    <w:rsid w:val="002E7D9E"/>
    <w:rsid w:val="002F2769"/>
    <w:rsid w:val="002F4D39"/>
    <w:rsid w:val="003064F5"/>
    <w:rsid w:val="003157A1"/>
    <w:rsid w:val="0031759F"/>
    <w:rsid w:val="00332EDA"/>
    <w:rsid w:val="003346E9"/>
    <w:rsid w:val="00347141"/>
    <w:rsid w:val="0035326F"/>
    <w:rsid w:val="00365DA7"/>
    <w:rsid w:val="0037527D"/>
    <w:rsid w:val="003A50A9"/>
    <w:rsid w:val="003B2BE1"/>
    <w:rsid w:val="003B3644"/>
    <w:rsid w:val="003D131C"/>
    <w:rsid w:val="003E3490"/>
    <w:rsid w:val="003F09CB"/>
    <w:rsid w:val="003F1A92"/>
    <w:rsid w:val="004041E4"/>
    <w:rsid w:val="004060AE"/>
    <w:rsid w:val="004064A9"/>
    <w:rsid w:val="00406651"/>
    <w:rsid w:val="00451483"/>
    <w:rsid w:val="00457AAC"/>
    <w:rsid w:val="00461528"/>
    <w:rsid w:val="00470919"/>
    <w:rsid w:val="00491EA4"/>
    <w:rsid w:val="004968A5"/>
    <w:rsid w:val="004A76BF"/>
    <w:rsid w:val="004C6D1E"/>
    <w:rsid w:val="004C7241"/>
    <w:rsid w:val="004E0441"/>
    <w:rsid w:val="004F4613"/>
    <w:rsid w:val="005142F6"/>
    <w:rsid w:val="00516D2C"/>
    <w:rsid w:val="0051794C"/>
    <w:rsid w:val="00521357"/>
    <w:rsid w:val="005259BB"/>
    <w:rsid w:val="00540BA1"/>
    <w:rsid w:val="00550168"/>
    <w:rsid w:val="00555498"/>
    <w:rsid w:val="00555BD1"/>
    <w:rsid w:val="00570586"/>
    <w:rsid w:val="00580EAA"/>
    <w:rsid w:val="005840ED"/>
    <w:rsid w:val="005846F1"/>
    <w:rsid w:val="00593C2B"/>
    <w:rsid w:val="005A7C66"/>
    <w:rsid w:val="005B088A"/>
    <w:rsid w:val="005B0C9D"/>
    <w:rsid w:val="005B746E"/>
    <w:rsid w:val="005B7470"/>
    <w:rsid w:val="005C0228"/>
    <w:rsid w:val="005C5E54"/>
    <w:rsid w:val="005D4C09"/>
    <w:rsid w:val="005D4E5B"/>
    <w:rsid w:val="005E48C9"/>
    <w:rsid w:val="005E6E10"/>
    <w:rsid w:val="005F44A4"/>
    <w:rsid w:val="005F52DD"/>
    <w:rsid w:val="00600892"/>
    <w:rsid w:val="006030C4"/>
    <w:rsid w:val="00604D84"/>
    <w:rsid w:val="00605456"/>
    <w:rsid w:val="00613967"/>
    <w:rsid w:val="00626D37"/>
    <w:rsid w:val="00630182"/>
    <w:rsid w:val="00631EB8"/>
    <w:rsid w:val="006344A0"/>
    <w:rsid w:val="00636B9B"/>
    <w:rsid w:val="00637587"/>
    <w:rsid w:val="00654E4A"/>
    <w:rsid w:val="006637A7"/>
    <w:rsid w:val="00673237"/>
    <w:rsid w:val="00690929"/>
    <w:rsid w:val="006A1C77"/>
    <w:rsid w:val="006A7CE6"/>
    <w:rsid w:val="006B1FF3"/>
    <w:rsid w:val="006D11A0"/>
    <w:rsid w:val="006D14CD"/>
    <w:rsid w:val="007118D6"/>
    <w:rsid w:val="00715AAC"/>
    <w:rsid w:val="00716A8A"/>
    <w:rsid w:val="00720E6C"/>
    <w:rsid w:val="00723CF6"/>
    <w:rsid w:val="00741CA7"/>
    <w:rsid w:val="00743157"/>
    <w:rsid w:val="00751239"/>
    <w:rsid w:val="007740ED"/>
    <w:rsid w:val="00790EC6"/>
    <w:rsid w:val="00791A55"/>
    <w:rsid w:val="0079732A"/>
    <w:rsid w:val="007A1F84"/>
    <w:rsid w:val="007A4355"/>
    <w:rsid w:val="007A5888"/>
    <w:rsid w:val="007A6421"/>
    <w:rsid w:val="007A6D22"/>
    <w:rsid w:val="007B0FB9"/>
    <w:rsid w:val="007C582E"/>
    <w:rsid w:val="007D138A"/>
    <w:rsid w:val="007D5DE2"/>
    <w:rsid w:val="007D7150"/>
    <w:rsid w:val="007E1E77"/>
    <w:rsid w:val="007E3505"/>
    <w:rsid w:val="007E76E8"/>
    <w:rsid w:val="007F2441"/>
    <w:rsid w:val="007F630B"/>
    <w:rsid w:val="007F6472"/>
    <w:rsid w:val="007F6A22"/>
    <w:rsid w:val="00824536"/>
    <w:rsid w:val="00833E78"/>
    <w:rsid w:val="0084762A"/>
    <w:rsid w:val="00847B82"/>
    <w:rsid w:val="00852EFB"/>
    <w:rsid w:val="00861701"/>
    <w:rsid w:val="008749D6"/>
    <w:rsid w:val="00882730"/>
    <w:rsid w:val="008872B8"/>
    <w:rsid w:val="00893A36"/>
    <w:rsid w:val="00894B4D"/>
    <w:rsid w:val="008A30D0"/>
    <w:rsid w:val="008A73A5"/>
    <w:rsid w:val="008B0C0D"/>
    <w:rsid w:val="008B61DC"/>
    <w:rsid w:val="008B7376"/>
    <w:rsid w:val="008C42B6"/>
    <w:rsid w:val="008D4E28"/>
    <w:rsid w:val="008E02A2"/>
    <w:rsid w:val="008F330F"/>
    <w:rsid w:val="00912EB8"/>
    <w:rsid w:val="00923866"/>
    <w:rsid w:val="00933433"/>
    <w:rsid w:val="00941045"/>
    <w:rsid w:val="00945285"/>
    <w:rsid w:val="00946261"/>
    <w:rsid w:val="00946969"/>
    <w:rsid w:val="009515F2"/>
    <w:rsid w:val="0095591C"/>
    <w:rsid w:val="009668DC"/>
    <w:rsid w:val="0096740C"/>
    <w:rsid w:val="009679FA"/>
    <w:rsid w:val="00974863"/>
    <w:rsid w:val="00982C60"/>
    <w:rsid w:val="00997758"/>
    <w:rsid w:val="00997F79"/>
    <w:rsid w:val="009A61FF"/>
    <w:rsid w:val="009B7012"/>
    <w:rsid w:val="009B76F2"/>
    <w:rsid w:val="009B7C54"/>
    <w:rsid w:val="009C5D0B"/>
    <w:rsid w:val="009C6922"/>
    <w:rsid w:val="009D0290"/>
    <w:rsid w:val="009E5AA2"/>
    <w:rsid w:val="009E6C2E"/>
    <w:rsid w:val="009F156D"/>
    <w:rsid w:val="009F32B5"/>
    <w:rsid w:val="009F6EE2"/>
    <w:rsid w:val="00A15480"/>
    <w:rsid w:val="00A17DB5"/>
    <w:rsid w:val="00A23D80"/>
    <w:rsid w:val="00A2691C"/>
    <w:rsid w:val="00A41305"/>
    <w:rsid w:val="00A50020"/>
    <w:rsid w:val="00A51A73"/>
    <w:rsid w:val="00A54FAF"/>
    <w:rsid w:val="00A57460"/>
    <w:rsid w:val="00A74783"/>
    <w:rsid w:val="00A762FA"/>
    <w:rsid w:val="00A85D3E"/>
    <w:rsid w:val="00AA3D95"/>
    <w:rsid w:val="00AB1689"/>
    <w:rsid w:val="00AC44A1"/>
    <w:rsid w:val="00AD26CD"/>
    <w:rsid w:val="00AE0250"/>
    <w:rsid w:val="00AF0CFF"/>
    <w:rsid w:val="00AF1E58"/>
    <w:rsid w:val="00B00476"/>
    <w:rsid w:val="00B030E4"/>
    <w:rsid w:val="00B100D1"/>
    <w:rsid w:val="00B11850"/>
    <w:rsid w:val="00B141E6"/>
    <w:rsid w:val="00B17BC2"/>
    <w:rsid w:val="00B24828"/>
    <w:rsid w:val="00B306D6"/>
    <w:rsid w:val="00B3408A"/>
    <w:rsid w:val="00B35BF8"/>
    <w:rsid w:val="00B42F02"/>
    <w:rsid w:val="00B46B5E"/>
    <w:rsid w:val="00B56EC4"/>
    <w:rsid w:val="00B57F86"/>
    <w:rsid w:val="00B70412"/>
    <w:rsid w:val="00B74852"/>
    <w:rsid w:val="00B758D7"/>
    <w:rsid w:val="00B84097"/>
    <w:rsid w:val="00B86FEE"/>
    <w:rsid w:val="00BA6900"/>
    <w:rsid w:val="00BC2E11"/>
    <w:rsid w:val="00BD1E47"/>
    <w:rsid w:val="00BD7C55"/>
    <w:rsid w:val="00BE7B4D"/>
    <w:rsid w:val="00BF1D2A"/>
    <w:rsid w:val="00C00129"/>
    <w:rsid w:val="00C04E7B"/>
    <w:rsid w:val="00C116CF"/>
    <w:rsid w:val="00C221CA"/>
    <w:rsid w:val="00C23E35"/>
    <w:rsid w:val="00C4051D"/>
    <w:rsid w:val="00C42A25"/>
    <w:rsid w:val="00C47FF6"/>
    <w:rsid w:val="00C50615"/>
    <w:rsid w:val="00C52DB9"/>
    <w:rsid w:val="00C53F7D"/>
    <w:rsid w:val="00C66A13"/>
    <w:rsid w:val="00C7387E"/>
    <w:rsid w:val="00C75EE7"/>
    <w:rsid w:val="00C82E0E"/>
    <w:rsid w:val="00C83D7F"/>
    <w:rsid w:val="00CA5B06"/>
    <w:rsid w:val="00CB6FB5"/>
    <w:rsid w:val="00CC46BE"/>
    <w:rsid w:val="00CD68AE"/>
    <w:rsid w:val="00CE29F7"/>
    <w:rsid w:val="00D040B4"/>
    <w:rsid w:val="00D05274"/>
    <w:rsid w:val="00D05455"/>
    <w:rsid w:val="00D05E0A"/>
    <w:rsid w:val="00D1021A"/>
    <w:rsid w:val="00D11D4B"/>
    <w:rsid w:val="00D328FE"/>
    <w:rsid w:val="00D3414F"/>
    <w:rsid w:val="00D474A3"/>
    <w:rsid w:val="00D62B5F"/>
    <w:rsid w:val="00D7386B"/>
    <w:rsid w:val="00D762CC"/>
    <w:rsid w:val="00D80253"/>
    <w:rsid w:val="00D80487"/>
    <w:rsid w:val="00D85ECE"/>
    <w:rsid w:val="00D870DE"/>
    <w:rsid w:val="00D8796F"/>
    <w:rsid w:val="00DA26D2"/>
    <w:rsid w:val="00DB1B0B"/>
    <w:rsid w:val="00DB695A"/>
    <w:rsid w:val="00DC0337"/>
    <w:rsid w:val="00DC0C75"/>
    <w:rsid w:val="00DC602C"/>
    <w:rsid w:val="00DC709C"/>
    <w:rsid w:val="00DD0D7C"/>
    <w:rsid w:val="00DF01F7"/>
    <w:rsid w:val="00E01E60"/>
    <w:rsid w:val="00E07A64"/>
    <w:rsid w:val="00E20DBA"/>
    <w:rsid w:val="00E21EAA"/>
    <w:rsid w:val="00E2253A"/>
    <w:rsid w:val="00E33769"/>
    <w:rsid w:val="00E40586"/>
    <w:rsid w:val="00E41D9A"/>
    <w:rsid w:val="00E42E33"/>
    <w:rsid w:val="00E4449A"/>
    <w:rsid w:val="00E5026F"/>
    <w:rsid w:val="00E63259"/>
    <w:rsid w:val="00E92570"/>
    <w:rsid w:val="00E96C28"/>
    <w:rsid w:val="00EB04ED"/>
    <w:rsid w:val="00EB13D7"/>
    <w:rsid w:val="00EB40EC"/>
    <w:rsid w:val="00ED17F9"/>
    <w:rsid w:val="00EE0BF9"/>
    <w:rsid w:val="00EE2C28"/>
    <w:rsid w:val="00F05B10"/>
    <w:rsid w:val="00F05CB1"/>
    <w:rsid w:val="00F063DC"/>
    <w:rsid w:val="00F17939"/>
    <w:rsid w:val="00F25726"/>
    <w:rsid w:val="00F270D4"/>
    <w:rsid w:val="00F33585"/>
    <w:rsid w:val="00F34781"/>
    <w:rsid w:val="00F42ACD"/>
    <w:rsid w:val="00F5228A"/>
    <w:rsid w:val="00F53C4F"/>
    <w:rsid w:val="00F54B44"/>
    <w:rsid w:val="00F55FAF"/>
    <w:rsid w:val="00F61FC2"/>
    <w:rsid w:val="00F65AFF"/>
    <w:rsid w:val="00F70E71"/>
    <w:rsid w:val="00F72154"/>
    <w:rsid w:val="00FA5A70"/>
    <w:rsid w:val="00FB317A"/>
    <w:rsid w:val="00FC4B0D"/>
    <w:rsid w:val="00FC5BC6"/>
    <w:rsid w:val="00FD304D"/>
    <w:rsid w:val="00FD3FBC"/>
    <w:rsid w:val="00FD4C28"/>
    <w:rsid w:val="00FD76EF"/>
    <w:rsid w:val="00FE0FD7"/>
    <w:rsid w:val="00FE218E"/>
    <w:rsid w:val="00FE407D"/>
    <w:rsid w:val="00FF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4BCC9"/>
  <w15:docId w15:val="{FA1B86DB-8C65-4F7F-B6A8-B462548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00D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0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00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9F17-6ED8-4165-AC70-EEFAE38D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庄喻雯</cp:lastModifiedBy>
  <cp:revision>9</cp:revision>
  <dcterms:created xsi:type="dcterms:W3CDTF">2022-08-25T02:15:00Z</dcterms:created>
  <dcterms:modified xsi:type="dcterms:W3CDTF">2022-09-01T00:46:00Z</dcterms:modified>
</cp:coreProperties>
</file>