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382220" w14:paraId="24269902" w14:textId="77777777">
        <w:trPr>
          <w:trHeight w:hRule="exact" w:val="360"/>
        </w:trPr>
        <w:tc>
          <w:tcPr>
            <w:tcW w:w="2518" w:type="dxa"/>
            <w:tcBorders>
              <w:top w:val="nil"/>
              <w:left w:val="nil"/>
              <w:bottom w:val="nil"/>
              <w:right w:val="nil"/>
            </w:tcBorders>
            <w:vAlign w:val="center"/>
          </w:tcPr>
          <w:p w14:paraId="709351B0" w14:textId="77777777" w:rsidR="00382220" w:rsidRDefault="00000000">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p>
        </w:tc>
        <w:tc>
          <w:tcPr>
            <w:tcW w:w="3025" w:type="dxa"/>
            <w:tcBorders>
              <w:top w:val="nil"/>
              <w:left w:val="nil"/>
              <w:bottom w:val="nil"/>
              <w:right w:val="nil"/>
            </w:tcBorders>
            <w:vAlign w:val="center"/>
          </w:tcPr>
          <w:p w14:paraId="5EB1C858" w14:textId="77777777" w:rsidR="00382220" w:rsidRDefault="00000000">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14:paraId="655FB81A" w14:textId="65DE2950" w:rsidR="00382220" w:rsidRDefault="00000000">
            <w:pPr>
              <w:pStyle w:val="TableParagraph"/>
              <w:spacing w:line="300" w:lineRule="exact"/>
              <w:rPr>
                <w:rFonts w:ascii="Times" w:eastAsia="宋体" w:hAnsi="Times" w:cs="黑体"/>
                <w:sz w:val="24"/>
                <w:szCs w:val="24"/>
                <w:lang w:eastAsia="zh-CN"/>
              </w:rPr>
            </w:pPr>
            <w:r>
              <w:rPr>
                <w:rFonts w:ascii="Times" w:eastAsia="宋体" w:hAnsi="Times" w:cs="黑体"/>
                <w:sz w:val="24"/>
                <w:szCs w:val="24"/>
              </w:rPr>
              <w:t>编号：</w:t>
            </w:r>
            <w:r>
              <w:rPr>
                <w:rFonts w:ascii="Times" w:eastAsia="宋体" w:hAnsi="Times" w:cs="黑体" w:hint="eastAsia"/>
                <w:sz w:val="24"/>
                <w:szCs w:val="24"/>
                <w:lang w:eastAsia="zh-CN"/>
              </w:rPr>
              <w:t>临</w:t>
            </w:r>
            <w:r>
              <w:rPr>
                <w:rFonts w:ascii="Times" w:eastAsia="宋体" w:hAnsi="Times" w:cs="黑体"/>
                <w:sz w:val="24"/>
                <w:szCs w:val="24"/>
              </w:rPr>
              <w:t>2023</w:t>
            </w:r>
            <w:r>
              <w:rPr>
                <w:rFonts w:ascii="Times" w:eastAsia="宋体" w:hAnsi="Times" w:cs="黑体" w:hint="eastAsia"/>
                <w:sz w:val="24"/>
                <w:szCs w:val="24"/>
                <w:lang w:eastAsia="zh-CN"/>
              </w:rPr>
              <w:t>-</w:t>
            </w:r>
            <w:r w:rsidR="00C657C5">
              <w:rPr>
                <w:rFonts w:ascii="Times" w:eastAsia="宋体" w:hAnsi="Times" w:cs="黑体" w:hint="eastAsia"/>
                <w:sz w:val="24"/>
                <w:szCs w:val="24"/>
                <w:lang w:eastAsia="zh-CN"/>
              </w:rPr>
              <w:t>0</w:t>
            </w:r>
            <w:r w:rsidR="00C657C5">
              <w:rPr>
                <w:rFonts w:ascii="Times" w:eastAsia="宋体" w:hAnsi="Times" w:cs="黑体"/>
                <w:sz w:val="24"/>
                <w:szCs w:val="24"/>
                <w:lang w:eastAsia="zh-CN"/>
              </w:rPr>
              <w:t>0</w:t>
            </w:r>
            <w:r w:rsidR="00047BBC">
              <w:rPr>
                <w:rFonts w:ascii="Times" w:eastAsia="宋体" w:hAnsi="Times" w:cs="黑体"/>
                <w:sz w:val="24"/>
                <w:szCs w:val="24"/>
                <w:lang w:eastAsia="zh-CN"/>
              </w:rPr>
              <w:t>9</w:t>
            </w:r>
          </w:p>
        </w:tc>
      </w:tr>
    </w:tbl>
    <w:p w14:paraId="77C8BA37" w14:textId="77777777" w:rsidR="00382220" w:rsidRDefault="00382220">
      <w:pPr>
        <w:adjustRightInd w:val="0"/>
        <w:snapToGrid w:val="0"/>
        <w:spacing w:line="360" w:lineRule="auto"/>
        <w:ind w:firstLineChars="200" w:firstLine="420"/>
        <w:jc w:val="left"/>
        <w:rPr>
          <w:rFonts w:ascii="Times" w:hAnsi="Times"/>
        </w:rPr>
      </w:pPr>
    </w:p>
    <w:p w14:paraId="6A9CBDAC" w14:textId="77777777" w:rsidR="00382220" w:rsidRDefault="00000000">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14:paraId="1A256CB1" w14:textId="028CF64D" w:rsidR="00382220" w:rsidRDefault="00000000">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关于与电建集团签署战略合作协议的公告</w:t>
      </w:r>
    </w:p>
    <w:p w14:paraId="28C789C9" w14:textId="77777777" w:rsidR="00382220" w:rsidRDefault="00000000">
      <w:pPr>
        <w:pStyle w:val="Default"/>
        <w:spacing w:beforeLines="50" w:before="156" w:afterLines="50" w:after="156" w:line="360" w:lineRule="auto"/>
        <w:ind w:firstLineChars="200" w:firstLine="480"/>
        <w:jc w:val="both"/>
        <w:rPr>
          <w:rFonts w:ascii="Times" w:hAnsi="Times"/>
        </w:rPr>
      </w:pPr>
      <w:r>
        <w:rPr>
          <w:rFonts w:ascii="Times" w:hAnsi="Times" w:hint="eastAsia"/>
        </w:rPr>
        <w:t>本公司董事会及全体董事保证本公告内容不存在任何虚假记载、误导性陈述或者重大遗漏，并对其内容的真实性、准确性和完整性承担个别及连带责任。</w:t>
      </w:r>
    </w:p>
    <w:p w14:paraId="09FDA270"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重要内容提示：</w:t>
      </w:r>
    </w:p>
    <w:p w14:paraId="624D61ED" w14:textId="74D1947A" w:rsidR="00382220" w:rsidRDefault="00000000">
      <w:pPr>
        <w:pStyle w:val="ae"/>
        <w:numPr>
          <w:ilvl w:val="0"/>
          <w:numId w:val="1"/>
        </w:numPr>
        <w:adjustRightInd w:val="0"/>
        <w:snapToGrid w:val="0"/>
        <w:spacing w:beforeLines="50" w:before="156" w:afterLines="50" w:after="156" w:line="360" w:lineRule="auto"/>
        <w:ind w:left="0" w:firstLine="560"/>
        <w:rPr>
          <w:rFonts w:ascii="Times" w:hAnsi="Times"/>
          <w:sz w:val="28"/>
          <w:szCs w:val="28"/>
        </w:rPr>
      </w:pPr>
      <w:r>
        <w:rPr>
          <w:rFonts w:ascii="Times" w:hAnsi="Times" w:hint="eastAsia"/>
          <w:sz w:val="28"/>
          <w:szCs w:val="28"/>
        </w:rPr>
        <w:t>《战略合作协议》的签署预计不会对公司本年度经营成果造成重大影响。</w:t>
      </w:r>
    </w:p>
    <w:p w14:paraId="4DB2A6A0" w14:textId="273A087B" w:rsidR="00382220" w:rsidRDefault="00000000">
      <w:pPr>
        <w:pStyle w:val="ae"/>
        <w:numPr>
          <w:ilvl w:val="0"/>
          <w:numId w:val="1"/>
        </w:numPr>
        <w:adjustRightInd w:val="0"/>
        <w:snapToGrid w:val="0"/>
        <w:spacing w:beforeLines="50" w:before="156" w:afterLines="50" w:after="156" w:line="360" w:lineRule="auto"/>
        <w:ind w:left="0" w:firstLine="560"/>
        <w:rPr>
          <w:rFonts w:ascii="Times" w:hAnsi="Times"/>
          <w:sz w:val="28"/>
          <w:szCs w:val="28"/>
        </w:rPr>
      </w:pPr>
      <w:r>
        <w:rPr>
          <w:rFonts w:ascii="Times" w:hAnsi="Times" w:hint="eastAsia"/>
          <w:sz w:val="28"/>
          <w:szCs w:val="28"/>
        </w:rPr>
        <w:t>《战略合作协议》仅为合作各方意向性约定，公司将根据相关法规的规定及项目进展及时履行信息披露义务。</w:t>
      </w:r>
    </w:p>
    <w:p w14:paraId="59AF26AF" w14:textId="78642056"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钱江水利开发股份有限公司（以下简称“公司”或“本公司”）于近日与中国电力建设集团有限公司（以下简称“电建集团”）签署了《战略合作协议》，现将相关情况公告如下。</w:t>
      </w:r>
    </w:p>
    <w:p w14:paraId="2F6BEA42" w14:textId="77777777" w:rsidR="00382220"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一、协议对方的基本情况</w:t>
      </w:r>
    </w:p>
    <w:p w14:paraId="5A06A1EB"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是全球能源电力、水资源与环境、基础设施及房地产领域提供全产业链集成、整体解决方案服务的综合性特大型建筑集团，主营业务横向跨越国内外能源电力、水利、铁路（地铁）、公路、机场、房屋建筑、水环境治理、市政基础设施及大土木、大建筑多行业，纵向覆盖投资开发、规划设计、工程承包、装备制造、项目运营等工程建设及运营全过程，具有懂水熟电的核心能力和产业链一体化的突出优势。此外，受国家有关部委委托，承担了国家水电、风电、太阳能等清洁能源和新能源的规划、审查等职能。电力建设（规划、设计、施工等）能力和业绩位居全球行业第一。电建集团的基本情况如下：</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24"/>
        <w:gridCol w:w="5752"/>
      </w:tblGrid>
      <w:tr w:rsidR="00382220" w14:paraId="1F7C41C8" w14:textId="77777777">
        <w:trPr>
          <w:trHeight w:val="397"/>
          <w:jc w:val="center"/>
        </w:trPr>
        <w:tc>
          <w:tcPr>
            <w:tcW w:w="1525" w:type="pct"/>
            <w:vAlign w:val="center"/>
          </w:tcPr>
          <w:p w14:paraId="4B7E9A33" w14:textId="77777777" w:rsidR="00382220" w:rsidRDefault="00000000">
            <w:pPr>
              <w:widowControl/>
              <w:jc w:val="left"/>
              <w:rPr>
                <w:rFonts w:ascii="Times" w:hAnsi="Times"/>
                <w:kern w:val="0"/>
                <w:szCs w:val="18"/>
              </w:rPr>
            </w:pPr>
            <w:r>
              <w:rPr>
                <w:rFonts w:ascii="Times" w:hAnsi="Times" w:hint="eastAsia"/>
                <w:kern w:val="0"/>
                <w:szCs w:val="18"/>
              </w:rPr>
              <w:lastRenderedPageBreak/>
              <w:t>公司</w:t>
            </w:r>
            <w:r>
              <w:rPr>
                <w:rFonts w:ascii="Times" w:hAnsi="Times"/>
                <w:kern w:val="0"/>
                <w:szCs w:val="18"/>
              </w:rPr>
              <w:t>名称</w:t>
            </w:r>
          </w:p>
        </w:tc>
        <w:tc>
          <w:tcPr>
            <w:tcW w:w="3475" w:type="pct"/>
            <w:vAlign w:val="center"/>
          </w:tcPr>
          <w:p w14:paraId="52EE6A99" w14:textId="77777777" w:rsidR="00382220" w:rsidRDefault="00000000">
            <w:pPr>
              <w:widowControl/>
              <w:jc w:val="left"/>
              <w:rPr>
                <w:rFonts w:ascii="Times" w:hAnsi="Times"/>
                <w:kern w:val="0"/>
                <w:szCs w:val="24"/>
              </w:rPr>
            </w:pPr>
            <w:r>
              <w:rPr>
                <w:rFonts w:ascii="Times" w:hAnsi="Times"/>
                <w:kern w:val="0"/>
                <w:szCs w:val="24"/>
              </w:rPr>
              <w:t>中国电力建设集团有限公司</w:t>
            </w:r>
          </w:p>
        </w:tc>
      </w:tr>
      <w:tr w:rsidR="00382220" w14:paraId="5093161A" w14:textId="77777777">
        <w:trPr>
          <w:trHeight w:val="397"/>
          <w:jc w:val="center"/>
        </w:trPr>
        <w:tc>
          <w:tcPr>
            <w:tcW w:w="1525" w:type="pct"/>
            <w:vAlign w:val="center"/>
          </w:tcPr>
          <w:p w14:paraId="7CF45318" w14:textId="77777777" w:rsidR="00382220" w:rsidRDefault="00000000">
            <w:pPr>
              <w:widowControl/>
              <w:jc w:val="left"/>
              <w:rPr>
                <w:rFonts w:ascii="Times" w:hAnsi="Times"/>
                <w:kern w:val="0"/>
                <w:szCs w:val="24"/>
              </w:rPr>
            </w:pPr>
            <w:r>
              <w:rPr>
                <w:rFonts w:ascii="Times" w:hAnsi="Times"/>
                <w:kern w:val="0"/>
                <w:szCs w:val="24"/>
              </w:rPr>
              <w:t>注册地址</w:t>
            </w:r>
          </w:p>
        </w:tc>
        <w:tc>
          <w:tcPr>
            <w:tcW w:w="3475" w:type="pct"/>
            <w:vAlign w:val="center"/>
          </w:tcPr>
          <w:p w14:paraId="4424BDD3" w14:textId="77777777" w:rsidR="00382220" w:rsidRDefault="00000000">
            <w:pPr>
              <w:pStyle w:val="a3"/>
              <w:rPr>
                <w:rFonts w:ascii="Times" w:hAnsi="Times"/>
                <w:kern w:val="0"/>
                <w:szCs w:val="24"/>
              </w:rPr>
            </w:pPr>
            <w:r>
              <w:t>北京市海淀区车公庄西路</w:t>
            </w:r>
            <w:r>
              <w:t>22</w:t>
            </w:r>
            <w:r>
              <w:t>号院</w:t>
            </w:r>
            <w:r>
              <w:t>2</w:t>
            </w:r>
            <w:r>
              <w:t>号楼</w:t>
            </w:r>
            <w:r>
              <w:t>18</w:t>
            </w:r>
            <w:r>
              <w:t>层</w:t>
            </w:r>
          </w:p>
        </w:tc>
      </w:tr>
      <w:tr w:rsidR="00382220" w14:paraId="68C1B43D" w14:textId="77777777">
        <w:trPr>
          <w:trHeight w:val="397"/>
          <w:jc w:val="center"/>
        </w:trPr>
        <w:tc>
          <w:tcPr>
            <w:tcW w:w="1525" w:type="pct"/>
            <w:vAlign w:val="center"/>
          </w:tcPr>
          <w:p w14:paraId="35C3C41B" w14:textId="77777777" w:rsidR="00382220" w:rsidRDefault="00000000">
            <w:pPr>
              <w:widowControl/>
              <w:jc w:val="left"/>
              <w:rPr>
                <w:rFonts w:ascii="Times" w:hAnsi="Times"/>
                <w:kern w:val="0"/>
                <w:szCs w:val="18"/>
              </w:rPr>
            </w:pPr>
            <w:r>
              <w:rPr>
                <w:rFonts w:ascii="Times" w:hAnsi="Times"/>
                <w:kern w:val="0"/>
                <w:szCs w:val="18"/>
              </w:rPr>
              <w:t>法定代表人</w:t>
            </w:r>
          </w:p>
        </w:tc>
        <w:tc>
          <w:tcPr>
            <w:tcW w:w="3475" w:type="pct"/>
            <w:vAlign w:val="center"/>
          </w:tcPr>
          <w:p w14:paraId="3246FF6D" w14:textId="77777777" w:rsidR="00382220" w:rsidRDefault="00000000">
            <w:pPr>
              <w:widowControl/>
              <w:jc w:val="left"/>
              <w:rPr>
                <w:rFonts w:ascii="Times" w:hAnsi="Times"/>
                <w:kern w:val="0"/>
                <w:szCs w:val="18"/>
              </w:rPr>
            </w:pPr>
            <w:r>
              <w:rPr>
                <w:rFonts w:ascii="Times" w:hAnsi="Times"/>
                <w:kern w:val="0"/>
                <w:szCs w:val="18"/>
              </w:rPr>
              <w:t>丁焰章</w:t>
            </w:r>
          </w:p>
        </w:tc>
      </w:tr>
      <w:tr w:rsidR="00382220" w14:paraId="4F8B9612" w14:textId="77777777">
        <w:trPr>
          <w:trHeight w:val="397"/>
          <w:jc w:val="center"/>
        </w:trPr>
        <w:tc>
          <w:tcPr>
            <w:tcW w:w="1525" w:type="pct"/>
            <w:vAlign w:val="center"/>
          </w:tcPr>
          <w:p w14:paraId="6A2C787A" w14:textId="77777777" w:rsidR="00382220" w:rsidRDefault="00000000">
            <w:pPr>
              <w:widowControl/>
              <w:jc w:val="left"/>
              <w:rPr>
                <w:rFonts w:ascii="Times" w:hAnsi="Times"/>
                <w:kern w:val="0"/>
                <w:szCs w:val="18"/>
              </w:rPr>
            </w:pPr>
            <w:r>
              <w:rPr>
                <w:rFonts w:ascii="Times" w:hAnsi="Times"/>
                <w:kern w:val="0"/>
                <w:szCs w:val="18"/>
              </w:rPr>
              <w:t>主要办公地点</w:t>
            </w:r>
          </w:p>
        </w:tc>
        <w:tc>
          <w:tcPr>
            <w:tcW w:w="3475" w:type="pct"/>
            <w:vAlign w:val="center"/>
          </w:tcPr>
          <w:p w14:paraId="4716C4E0" w14:textId="77777777" w:rsidR="00382220" w:rsidRDefault="00000000">
            <w:pPr>
              <w:widowControl/>
              <w:jc w:val="left"/>
              <w:rPr>
                <w:rFonts w:ascii="Times" w:hAnsi="Times"/>
                <w:kern w:val="0"/>
                <w:szCs w:val="18"/>
              </w:rPr>
            </w:pPr>
            <w:r>
              <w:rPr>
                <w:rFonts w:ascii="Times" w:hAnsi="Times"/>
                <w:kern w:val="0"/>
                <w:szCs w:val="18"/>
              </w:rPr>
              <w:t>北京市海淀区车公庄西路</w:t>
            </w:r>
            <w:r>
              <w:rPr>
                <w:rFonts w:ascii="Times" w:hAnsi="Times"/>
                <w:kern w:val="0"/>
                <w:szCs w:val="18"/>
              </w:rPr>
              <w:t>22</w:t>
            </w:r>
            <w:r>
              <w:rPr>
                <w:rFonts w:ascii="Times" w:hAnsi="Times"/>
                <w:kern w:val="0"/>
                <w:szCs w:val="18"/>
              </w:rPr>
              <w:t>号海赋国际大厦</w:t>
            </w:r>
            <w:r>
              <w:rPr>
                <w:rFonts w:ascii="Times" w:hAnsi="Times"/>
                <w:kern w:val="0"/>
                <w:szCs w:val="18"/>
              </w:rPr>
              <w:t>A</w:t>
            </w:r>
            <w:r>
              <w:rPr>
                <w:rFonts w:ascii="Times" w:hAnsi="Times"/>
                <w:kern w:val="0"/>
                <w:szCs w:val="18"/>
              </w:rPr>
              <w:t>座</w:t>
            </w:r>
          </w:p>
        </w:tc>
      </w:tr>
      <w:tr w:rsidR="00382220" w14:paraId="344116F0" w14:textId="77777777">
        <w:trPr>
          <w:trHeight w:val="397"/>
          <w:jc w:val="center"/>
        </w:trPr>
        <w:tc>
          <w:tcPr>
            <w:tcW w:w="1525" w:type="pct"/>
            <w:vAlign w:val="center"/>
          </w:tcPr>
          <w:p w14:paraId="3909226E" w14:textId="77777777" w:rsidR="00382220" w:rsidRDefault="00000000">
            <w:pPr>
              <w:widowControl/>
              <w:jc w:val="left"/>
              <w:rPr>
                <w:rFonts w:ascii="Times" w:hAnsi="Times"/>
                <w:kern w:val="0"/>
                <w:szCs w:val="18"/>
              </w:rPr>
            </w:pPr>
            <w:r>
              <w:rPr>
                <w:rFonts w:ascii="Times" w:hAnsi="Times"/>
                <w:kern w:val="0"/>
                <w:szCs w:val="18"/>
              </w:rPr>
              <w:t>注册资本</w:t>
            </w:r>
          </w:p>
        </w:tc>
        <w:tc>
          <w:tcPr>
            <w:tcW w:w="3475" w:type="pct"/>
            <w:vAlign w:val="center"/>
          </w:tcPr>
          <w:p w14:paraId="2E7AB366" w14:textId="77777777" w:rsidR="00382220" w:rsidRDefault="00000000">
            <w:pPr>
              <w:widowControl/>
              <w:jc w:val="left"/>
              <w:rPr>
                <w:rFonts w:ascii="Times" w:hAnsi="Times"/>
                <w:kern w:val="0"/>
                <w:szCs w:val="18"/>
              </w:rPr>
            </w:pPr>
            <w:r>
              <w:rPr>
                <w:rFonts w:ascii="Times" w:hAnsi="Times"/>
                <w:kern w:val="0"/>
                <w:szCs w:val="18"/>
              </w:rPr>
              <w:t>3,186,339.01</w:t>
            </w:r>
            <w:r>
              <w:rPr>
                <w:rFonts w:ascii="Times" w:hAnsi="Times"/>
                <w:kern w:val="0"/>
                <w:szCs w:val="18"/>
              </w:rPr>
              <w:t>万元</w:t>
            </w:r>
          </w:p>
        </w:tc>
      </w:tr>
      <w:tr w:rsidR="00382220" w14:paraId="4581B1C6" w14:textId="77777777">
        <w:trPr>
          <w:trHeight w:val="397"/>
          <w:jc w:val="center"/>
        </w:trPr>
        <w:tc>
          <w:tcPr>
            <w:tcW w:w="1525" w:type="pct"/>
            <w:vAlign w:val="center"/>
          </w:tcPr>
          <w:p w14:paraId="4019C895" w14:textId="77777777" w:rsidR="00382220" w:rsidRDefault="00000000">
            <w:pPr>
              <w:widowControl/>
              <w:jc w:val="left"/>
              <w:rPr>
                <w:rFonts w:ascii="Times" w:hAnsi="Times"/>
                <w:kern w:val="0"/>
                <w:szCs w:val="18"/>
              </w:rPr>
            </w:pPr>
            <w:r>
              <w:rPr>
                <w:rFonts w:ascii="Times" w:hAnsi="Times"/>
                <w:kern w:val="0"/>
                <w:szCs w:val="18"/>
              </w:rPr>
              <w:t>统一社会信用代码</w:t>
            </w:r>
          </w:p>
        </w:tc>
        <w:tc>
          <w:tcPr>
            <w:tcW w:w="3475" w:type="pct"/>
            <w:vAlign w:val="center"/>
          </w:tcPr>
          <w:p w14:paraId="3830DC56" w14:textId="77777777" w:rsidR="00382220" w:rsidRDefault="00000000">
            <w:pPr>
              <w:widowControl/>
              <w:jc w:val="left"/>
              <w:rPr>
                <w:rFonts w:ascii="Times" w:hAnsi="Times"/>
                <w:kern w:val="0"/>
                <w:szCs w:val="18"/>
              </w:rPr>
            </w:pPr>
            <w:r>
              <w:rPr>
                <w:rFonts w:ascii="Times" w:hAnsi="Times"/>
                <w:kern w:val="0"/>
                <w:szCs w:val="18"/>
              </w:rPr>
              <w:t>911100007178306183</w:t>
            </w:r>
          </w:p>
        </w:tc>
      </w:tr>
      <w:tr w:rsidR="00382220" w14:paraId="54B14888" w14:textId="77777777">
        <w:trPr>
          <w:trHeight w:val="397"/>
          <w:jc w:val="center"/>
        </w:trPr>
        <w:tc>
          <w:tcPr>
            <w:tcW w:w="1525" w:type="pct"/>
            <w:vAlign w:val="center"/>
          </w:tcPr>
          <w:p w14:paraId="1B8DCD4D" w14:textId="77777777" w:rsidR="00382220" w:rsidRDefault="00000000">
            <w:pPr>
              <w:widowControl/>
              <w:jc w:val="left"/>
              <w:rPr>
                <w:rFonts w:ascii="Times" w:hAnsi="Times"/>
                <w:kern w:val="0"/>
                <w:szCs w:val="18"/>
              </w:rPr>
            </w:pPr>
            <w:r>
              <w:rPr>
                <w:rFonts w:ascii="Times" w:hAnsi="Times"/>
                <w:kern w:val="0"/>
                <w:szCs w:val="18"/>
              </w:rPr>
              <w:t>设立日期</w:t>
            </w:r>
          </w:p>
        </w:tc>
        <w:tc>
          <w:tcPr>
            <w:tcW w:w="3475" w:type="pct"/>
            <w:vAlign w:val="center"/>
          </w:tcPr>
          <w:p w14:paraId="2A09CAAE" w14:textId="77777777" w:rsidR="00382220" w:rsidRDefault="00000000">
            <w:pPr>
              <w:widowControl/>
              <w:jc w:val="left"/>
              <w:rPr>
                <w:rFonts w:ascii="Times" w:hAnsi="Times"/>
                <w:kern w:val="0"/>
                <w:szCs w:val="18"/>
              </w:rPr>
            </w:pPr>
            <w:r>
              <w:rPr>
                <w:rFonts w:ascii="Times" w:hAnsi="Times"/>
                <w:kern w:val="0"/>
                <w:szCs w:val="18"/>
              </w:rPr>
              <w:t>2011</w:t>
            </w:r>
            <w:r>
              <w:rPr>
                <w:rFonts w:ascii="Times" w:hAnsi="Times"/>
                <w:kern w:val="0"/>
                <w:szCs w:val="18"/>
              </w:rPr>
              <w:t>年</w:t>
            </w:r>
            <w:r>
              <w:rPr>
                <w:rFonts w:ascii="Times" w:hAnsi="Times"/>
                <w:kern w:val="0"/>
                <w:szCs w:val="18"/>
              </w:rPr>
              <w:t>9</w:t>
            </w:r>
            <w:r>
              <w:rPr>
                <w:rFonts w:ascii="Times" w:hAnsi="Times"/>
                <w:kern w:val="0"/>
                <w:szCs w:val="18"/>
              </w:rPr>
              <w:t>月</w:t>
            </w:r>
            <w:r>
              <w:rPr>
                <w:rFonts w:ascii="Times" w:hAnsi="Times"/>
                <w:kern w:val="0"/>
                <w:szCs w:val="18"/>
              </w:rPr>
              <w:t>28</w:t>
            </w:r>
            <w:r>
              <w:rPr>
                <w:rFonts w:ascii="Times" w:hAnsi="Times"/>
                <w:kern w:val="0"/>
                <w:szCs w:val="18"/>
              </w:rPr>
              <w:t>日</w:t>
            </w:r>
          </w:p>
        </w:tc>
      </w:tr>
      <w:tr w:rsidR="00382220" w14:paraId="282DAD37" w14:textId="77777777">
        <w:trPr>
          <w:trHeight w:val="397"/>
          <w:jc w:val="center"/>
        </w:trPr>
        <w:tc>
          <w:tcPr>
            <w:tcW w:w="1525" w:type="pct"/>
            <w:vAlign w:val="center"/>
          </w:tcPr>
          <w:p w14:paraId="303862A6" w14:textId="77777777" w:rsidR="00382220" w:rsidRDefault="00000000">
            <w:pPr>
              <w:widowControl/>
              <w:jc w:val="left"/>
              <w:rPr>
                <w:rFonts w:ascii="Times" w:hAnsi="Times"/>
                <w:kern w:val="0"/>
                <w:szCs w:val="18"/>
              </w:rPr>
            </w:pPr>
            <w:r>
              <w:rPr>
                <w:rFonts w:ascii="Times" w:hAnsi="Times"/>
                <w:kern w:val="0"/>
                <w:szCs w:val="18"/>
              </w:rPr>
              <w:t>公司类型</w:t>
            </w:r>
          </w:p>
        </w:tc>
        <w:tc>
          <w:tcPr>
            <w:tcW w:w="3475" w:type="pct"/>
            <w:vAlign w:val="center"/>
          </w:tcPr>
          <w:p w14:paraId="7E2D3A97" w14:textId="77777777" w:rsidR="00382220" w:rsidRDefault="00000000">
            <w:pPr>
              <w:widowControl/>
              <w:jc w:val="left"/>
              <w:rPr>
                <w:rFonts w:ascii="Times" w:hAnsi="Times"/>
                <w:kern w:val="0"/>
                <w:szCs w:val="18"/>
              </w:rPr>
            </w:pPr>
            <w:r>
              <w:rPr>
                <w:rFonts w:ascii="Times" w:hAnsi="Times"/>
                <w:kern w:val="0"/>
                <w:szCs w:val="18"/>
              </w:rPr>
              <w:t>有限责任公司（国有独资）</w:t>
            </w:r>
          </w:p>
        </w:tc>
      </w:tr>
      <w:tr w:rsidR="00382220" w14:paraId="09586CF9" w14:textId="77777777">
        <w:trPr>
          <w:trHeight w:val="397"/>
          <w:jc w:val="center"/>
        </w:trPr>
        <w:tc>
          <w:tcPr>
            <w:tcW w:w="1525" w:type="pct"/>
            <w:vAlign w:val="center"/>
          </w:tcPr>
          <w:p w14:paraId="7B5AE248" w14:textId="77777777" w:rsidR="00382220" w:rsidRDefault="00000000">
            <w:pPr>
              <w:widowControl/>
              <w:jc w:val="left"/>
              <w:rPr>
                <w:rFonts w:ascii="Times" w:hAnsi="Times"/>
                <w:kern w:val="0"/>
                <w:szCs w:val="18"/>
              </w:rPr>
            </w:pPr>
            <w:r>
              <w:rPr>
                <w:rFonts w:ascii="Times" w:hAnsi="Times"/>
                <w:kern w:val="0"/>
                <w:szCs w:val="18"/>
              </w:rPr>
              <w:t>经营范围</w:t>
            </w:r>
          </w:p>
        </w:tc>
        <w:tc>
          <w:tcPr>
            <w:tcW w:w="3475" w:type="pct"/>
            <w:vAlign w:val="center"/>
          </w:tcPr>
          <w:p w14:paraId="68A7D30C" w14:textId="77777777" w:rsidR="00382220" w:rsidRDefault="00000000">
            <w:pPr>
              <w:widowControl/>
              <w:jc w:val="left"/>
              <w:rPr>
                <w:rFonts w:ascii="Times" w:hAnsi="Times"/>
                <w:kern w:val="0"/>
                <w:szCs w:val="18"/>
              </w:rPr>
            </w:pPr>
            <w:r>
              <w:rPr>
                <w:rFonts w:ascii="Times" w:hAnsi="Times"/>
                <w:kern w:val="0"/>
                <w:szCs w:val="18"/>
              </w:rPr>
              <w:t>承包与其实力、规模、业绩相适应的国外工程项目；对外派遣实施上述境外工程所需的劳务人员；境内外水电、火电、核电、风电、太阳能发电及送变电工程和水利、水务工程总承包与规划、勘察设计、施工安装、技术研发、项目管理、咨询、监理、设备检修及相关设备的制造、修理、租赁；电力项目开发、投资、建设、管理、销售；境内外公路、铁路、港口、航道、机场、房屋、市政工程、城市轨道、环境工程、矿山、冶炼及石油化工的勘察设计、施工安装、技术研发、项目管理、咨询、监理、设备检修及相关设备制造修理租赁、开发、投资、建设、经营管理、生产销售；招标业务；进出口业务；房地产开发经营；实业投资、管理；物流仓储。</w:t>
            </w:r>
          </w:p>
        </w:tc>
      </w:tr>
      <w:tr w:rsidR="00382220" w14:paraId="7CA46B91" w14:textId="77777777">
        <w:trPr>
          <w:trHeight w:val="397"/>
          <w:jc w:val="center"/>
        </w:trPr>
        <w:tc>
          <w:tcPr>
            <w:tcW w:w="1525" w:type="pct"/>
            <w:vAlign w:val="center"/>
          </w:tcPr>
          <w:p w14:paraId="2059385E" w14:textId="77777777" w:rsidR="00382220" w:rsidRDefault="00000000">
            <w:pPr>
              <w:widowControl/>
              <w:jc w:val="left"/>
              <w:rPr>
                <w:rFonts w:ascii="Times" w:hAnsi="Times"/>
                <w:kern w:val="0"/>
                <w:szCs w:val="18"/>
              </w:rPr>
            </w:pPr>
            <w:r>
              <w:rPr>
                <w:rFonts w:ascii="Times" w:hAnsi="Times"/>
                <w:kern w:val="0"/>
                <w:szCs w:val="18"/>
              </w:rPr>
              <w:t>经营期限</w:t>
            </w:r>
          </w:p>
        </w:tc>
        <w:tc>
          <w:tcPr>
            <w:tcW w:w="3475" w:type="pct"/>
            <w:vAlign w:val="center"/>
          </w:tcPr>
          <w:p w14:paraId="19D43290" w14:textId="77777777" w:rsidR="00382220" w:rsidRDefault="00000000">
            <w:pPr>
              <w:widowControl/>
              <w:jc w:val="left"/>
              <w:rPr>
                <w:rFonts w:ascii="Times" w:hAnsi="Times"/>
                <w:kern w:val="0"/>
                <w:szCs w:val="18"/>
              </w:rPr>
            </w:pPr>
            <w:r>
              <w:rPr>
                <w:rFonts w:ascii="Times" w:hAnsi="Times"/>
                <w:kern w:val="0"/>
                <w:szCs w:val="18"/>
              </w:rPr>
              <w:t>2011</w:t>
            </w:r>
            <w:r>
              <w:rPr>
                <w:rFonts w:ascii="Times" w:hAnsi="Times"/>
                <w:kern w:val="0"/>
                <w:szCs w:val="18"/>
              </w:rPr>
              <w:t>年</w:t>
            </w:r>
            <w:r>
              <w:rPr>
                <w:rFonts w:ascii="Times" w:hAnsi="Times"/>
                <w:kern w:val="0"/>
                <w:szCs w:val="18"/>
              </w:rPr>
              <w:t>9</w:t>
            </w:r>
            <w:r>
              <w:rPr>
                <w:rFonts w:ascii="Times" w:hAnsi="Times"/>
                <w:kern w:val="0"/>
                <w:szCs w:val="18"/>
              </w:rPr>
              <w:t>月</w:t>
            </w:r>
            <w:r>
              <w:rPr>
                <w:rFonts w:ascii="Times" w:hAnsi="Times"/>
                <w:kern w:val="0"/>
                <w:szCs w:val="18"/>
              </w:rPr>
              <w:t>28</w:t>
            </w:r>
            <w:r>
              <w:rPr>
                <w:rFonts w:ascii="Times" w:hAnsi="Times"/>
                <w:kern w:val="0"/>
                <w:szCs w:val="18"/>
              </w:rPr>
              <w:t>日至无固定期限</w:t>
            </w:r>
          </w:p>
        </w:tc>
      </w:tr>
      <w:tr w:rsidR="00382220" w14:paraId="6E0C2396" w14:textId="77777777">
        <w:trPr>
          <w:trHeight w:val="397"/>
          <w:jc w:val="center"/>
        </w:trPr>
        <w:tc>
          <w:tcPr>
            <w:tcW w:w="1525" w:type="pct"/>
            <w:vAlign w:val="center"/>
          </w:tcPr>
          <w:p w14:paraId="4ABF8ECA" w14:textId="77777777" w:rsidR="00382220" w:rsidRDefault="00000000">
            <w:pPr>
              <w:widowControl/>
              <w:jc w:val="left"/>
              <w:rPr>
                <w:rFonts w:ascii="Times" w:hAnsi="Times"/>
                <w:kern w:val="0"/>
                <w:szCs w:val="18"/>
              </w:rPr>
            </w:pPr>
            <w:r>
              <w:rPr>
                <w:rFonts w:ascii="Times" w:hAnsi="Times"/>
                <w:kern w:val="0"/>
                <w:szCs w:val="18"/>
              </w:rPr>
              <w:t>股东名称</w:t>
            </w:r>
          </w:p>
        </w:tc>
        <w:tc>
          <w:tcPr>
            <w:tcW w:w="3475" w:type="pct"/>
            <w:vAlign w:val="center"/>
          </w:tcPr>
          <w:p w14:paraId="31D5B1A0" w14:textId="77777777" w:rsidR="00382220" w:rsidRDefault="00000000">
            <w:pPr>
              <w:widowControl/>
              <w:jc w:val="left"/>
              <w:rPr>
                <w:rFonts w:ascii="Times" w:hAnsi="Times"/>
                <w:kern w:val="0"/>
                <w:szCs w:val="18"/>
              </w:rPr>
            </w:pPr>
            <w:r>
              <w:rPr>
                <w:rFonts w:ascii="Times" w:hAnsi="Times"/>
                <w:kern w:val="0"/>
                <w:szCs w:val="18"/>
              </w:rPr>
              <w:t>国务院国有资产监督管理委员会</w:t>
            </w:r>
          </w:p>
        </w:tc>
      </w:tr>
      <w:tr w:rsidR="00382220" w14:paraId="2931AF65" w14:textId="77777777">
        <w:trPr>
          <w:trHeight w:val="397"/>
          <w:jc w:val="center"/>
        </w:trPr>
        <w:tc>
          <w:tcPr>
            <w:tcW w:w="1525" w:type="pct"/>
            <w:vAlign w:val="center"/>
          </w:tcPr>
          <w:p w14:paraId="62BE10E0" w14:textId="77777777" w:rsidR="00382220" w:rsidRDefault="00000000">
            <w:pPr>
              <w:widowControl/>
              <w:jc w:val="left"/>
              <w:rPr>
                <w:rFonts w:ascii="Times" w:hAnsi="Times"/>
                <w:kern w:val="0"/>
                <w:szCs w:val="18"/>
              </w:rPr>
            </w:pPr>
            <w:r>
              <w:rPr>
                <w:rFonts w:ascii="Times" w:hAnsi="Times" w:hint="eastAsia"/>
                <w:kern w:val="0"/>
                <w:szCs w:val="18"/>
              </w:rPr>
              <w:t>与上市公司之间的关系</w:t>
            </w:r>
          </w:p>
        </w:tc>
        <w:tc>
          <w:tcPr>
            <w:tcW w:w="3475" w:type="pct"/>
            <w:vAlign w:val="center"/>
          </w:tcPr>
          <w:p w14:paraId="309A440F" w14:textId="77777777" w:rsidR="00382220" w:rsidRDefault="00000000">
            <w:pPr>
              <w:widowControl/>
              <w:jc w:val="left"/>
              <w:rPr>
                <w:rFonts w:ascii="Times" w:hAnsi="Times"/>
                <w:kern w:val="0"/>
                <w:szCs w:val="18"/>
                <w:lang w:val="zh-CN"/>
              </w:rPr>
            </w:pPr>
            <w:r>
              <w:rPr>
                <w:rFonts w:ascii="Times" w:hAnsi="Times" w:hint="eastAsia"/>
                <w:kern w:val="0"/>
                <w:szCs w:val="18"/>
              </w:rPr>
              <w:t>电建集团持有上市公司控股股东中国水务投资有限公司（以下简称“中国水务”）</w:t>
            </w:r>
            <w:r>
              <w:rPr>
                <w:rFonts w:ascii="Times" w:hAnsi="Times" w:hint="eastAsia"/>
                <w:kern w:val="0"/>
                <w:szCs w:val="18"/>
              </w:rPr>
              <w:t>3</w:t>
            </w:r>
            <w:r>
              <w:rPr>
                <w:rFonts w:ascii="Times" w:hAnsi="Times"/>
                <w:kern w:val="0"/>
                <w:szCs w:val="18"/>
              </w:rPr>
              <w:t>8.5</w:t>
            </w:r>
            <w:r>
              <w:rPr>
                <w:rFonts w:ascii="Times" w:hAnsi="Times" w:hint="eastAsia"/>
                <w:kern w:val="0"/>
                <w:szCs w:val="18"/>
              </w:rPr>
              <w:t>%</w:t>
            </w:r>
            <w:r>
              <w:rPr>
                <w:rFonts w:ascii="Times" w:hAnsi="Times" w:hint="eastAsia"/>
                <w:kern w:val="0"/>
                <w:szCs w:val="18"/>
              </w:rPr>
              <w:t>股权，是中国水务第一大股东</w:t>
            </w:r>
          </w:p>
        </w:tc>
      </w:tr>
    </w:tbl>
    <w:p w14:paraId="72227527" w14:textId="77777777" w:rsidR="00382220" w:rsidRDefault="00000000">
      <w:pPr>
        <w:adjustRightInd w:val="0"/>
        <w:snapToGrid w:val="0"/>
        <w:spacing w:before="50" w:after="50" w:line="360" w:lineRule="auto"/>
        <w:ind w:firstLineChars="200" w:firstLine="562"/>
        <w:rPr>
          <w:rFonts w:ascii="Times" w:hAnsi="Times"/>
          <w:sz w:val="28"/>
          <w:szCs w:val="28"/>
        </w:rPr>
      </w:pPr>
      <w:r>
        <w:rPr>
          <w:rFonts w:ascii="Times" w:hAnsi="Times" w:hint="eastAsia"/>
          <w:b/>
          <w:bCs/>
          <w:sz w:val="28"/>
          <w:szCs w:val="28"/>
        </w:rPr>
        <w:t>二、合作协议的主要内容</w:t>
      </w:r>
    </w:p>
    <w:p w14:paraId="352BC1A0"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（一）协议签署主体</w:t>
      </w:r>
    </w:p>
    <w:p w14:paraId="6AAFE69F" w14:textId="67CB0A8A"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甲方：中国电力建设集团有限公司</w:t>
      </w:r>
    </w:p>
    <w:p w14:paraId="792F573F" w14:textId="3C5EE9DE"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乙方：钱江水利开发股份有限公司</w:t>
      </w:r>
    </w:p>
    <w:p w14:paraId="283304E6"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（二）协议签署时间及地点</w:t>
      </w:r>
    </w:p>
    <w:p w14:paraId="484FAC84" w14:textId="2EB8DFE8"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由双方于</w:t>
      </w:r>
      <w:r>
        <w:rPr>
          <w:rFonts w:ascii="Times" w:hAnsi="Times" w:hint="eastAsia"/>
          <w:sz w:val="28"/>
          <w:szCs w:val="28"/>
        </w:rPr>
        <w:t>2</w:t>
      </w:r>
      <w:r>
        <w:rPr>
          <w:rFonts w:ascii="Times" w:hAnsi="Times"/>
          <w:sz w:val="28"/>
          <w:szCs w:val="28"/>
        </w:rPr>
        <w:t>023</w:t>
      </w:r>
      <w:r>
        <w:rPr>
          <w:rFonts w:ascii="Times" w:hAnsi="Times" w:hint="eastAsia"/>
          <w:sz w:val="28"/>
          <w:szCs w:val="28"/>
        </w:rPr>
        <w:t>年</w:t>
      </w:r>
      <w:r w:rsidR="00C657C5">
        <w:rPr>
          <w:rFonts w:ascii="Times" w:hAnsi="Times" w:hint="eastAsia"/>
          <w:sz w:val="28"/>
          <w:szCs w:val="28"/>
        </w:rPr>
        <w:t>3</w:t>
      </w:r>
      <w:r>
        <w:rPr>
          <w:rFonts w:ascii="Times" w:hAnsi="Times" w:hint="eastAsia"/>
          <w:sz w:val="28"/>
          <w:szCs w:val="28"/>
        </w:rPr>
        <w:t>月</w:t>
      </w:r>
      <w:r w:rsidR="00C657C5">
        <w:rPr>
          <w:rFonts w:ascii="Times" w:hAnsi="Times" w:hint="eastAsia"/>
          <w:sz w:val="28"/>
          <w:szCs w:val="28"/>
        </w:rPr>
        <w:t>2</w:t>
      </w:r>
      <w:r w:rsidR="00C657C5">
        <w:rPr>
          <w:rFonts w:ascii="Times" w:hAnsi="Times"/>
          <w:sz w:val="28"/>
          <w:szCs w:val="28"/>
        </w:rPr>
        <w:t>7</w:t>
      </w:r>
      <w:r>
        <w:rPr>
          <w:rFonts w:ascii="Times" w:hAnsi="Times" w:hint="eastAsia"/>
          <w:sz w:val="28"/>
          <w:szCs w:val="28"/>
        </w:rPr>
        <w:t>日在【北京市】签署。</w:t>
      </w:r>
    </w:p>
    <w:p w14:paraId="339A304D"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（三）合作背景及目标</w:t>
      </w:r>
    </w:p>
    <w:p w14:paraId="3D3BC67A"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为实现双方在水务水资源领域的资源整合、发挥各自优势、专业</w:t>
      </w:r>
      <w:r>
        <w:rPr>
          <w:rFonts w:ascii="Times" w:hAnsi="Times" w:hint="eastAsia"/>
          <w:sz w:val="28"/>
          <w:szCs w:val="28"/>
        </w:rPr>
        <w:lastRenderedPageBreak/>
        <w:t>互补，经甲、乙双方友好协商，秉持平等合作、互利互惠的原则达成战略合作协议。</w:t>
      </w:r>
    </w:p>
    <w:p w14:paraId="3939FB41"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（四）合作范围及合作方式</w:t>
      </w:r>
    </w:p>
    <w:p w14:paraId="0068CAA7"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在符合相关法律法规、监管政策并履行内外部审批程序的前提下，双方拟围绕水务水资源等领域开展以下合作：</w:t>
      </w:r>
    </w:p>
    <w:p w14:paraId="4F331A92"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1</w:t>
      </w:r>
      <w:r>
        <w:rPr>
          <w:rFonts w:ascii="Times" w:hAnsi="Times" w:hint="eastAsia"/>
          <w:sz w:val="28"/>
          <w:szCs w:val="28"/>
        </w:rPr>
        <w:t>、双方拟采用股权并购、新设公司等方式，发挥各自优势，推动双方优质水务资产整合以及新建项目投融资、建设和运营。</w:t>
      </w:r>
    </w:p>
    <w:p w14:paraId="768F2BD4"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2</w:t>
      </w:r>
      <w:r>
        <w:rPr>
          <w:rFonts w:ascii="Times" w:hAnsi="Times" w:hint="eastAsia"/>
          <w:sz w:val="28"/>
          <w:szCs w:val="28"/>
        </w:rPr>
        <w:t>、存量项目。甲方向乙方提供存量项目清单，乙方按照项目投资准入标准，及时向甲方反馈满足其标准的项目清单，共同商讨整合方案。</w:t>
      </w:r>
    </w:p>
    <w:p w14:paraId="6D91559B"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3</w:t>
      </w:r>
      <w:r>
        <w:rPr>
          <w:rFonts w:ascii="Times" w:hAnsi="Times" w:hint="eastAsia"/>
          <w:sz w:val="28"/>
          <w:szCs w:val="28"/>
        </w:rPr>
        <w:t>、新建项目。双方及时交换项目信息，加强互动，通过联合投标、</w:t>
      </w:r>
      <w:r>
        <w:rPr>
          <w:rFonts w:ascii="Times" w:hAnsi="Times" w:hint="eastAsia"/>
          <w:sz w:val="28"/>
          <w:szCs w:val="28"/>
        </w:rPr>
        <w:t>EPC+O</w:t>
      </w:r>
      <w:r>
        <w:rPr>
          <w:rFonts w:ascii="Times" w:hAnsi="Times" w:hint="eastAsia"/>
          <w:sz w:val="28"/>
          <w:szCs w:val="28"/>
        </w:rPr>
        <w:t>等方式，形成符合双方需求的合作方案，共同营销客户。</w:t>
      </w:r>
    </w:p>
    <w:p w14:paraId="7B8E033B" w14:textId="203EB3AE"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4</w:t>
      </w:r>
      <w:r>
        <w:rPr>
          <w:rFonts w:ascii="Times" w:hAnsi="Times" w:hint="eastAsia"/>
          <w:sz w:val="28"/>
          <w:szCs w:val="28"/>
        </w:rPr>
        <w:t>、甲乙双方需积极推进相关合作事宜，拟合作的项目包括但不限于浙江、福建省内的水务水资源项目。</w:t>
      </w:r>
    </w:p>
    <w:p w14:paraId="121EEC3E"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（五）协议期限</w:t>
      </w:r>
    </w:p>
    <w:p w14:paraId="4759B91A" w14:textId="280F41D3"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1</w:t>
      </w:r>
      <w:r>
        <w:rPr>
          <w:rFonts w:ascii="Times" w:hAnsi="Times" w:hint="eastAsia"/>
          <w:sz w:val="28"/>
          <w:szCs w:val="28"/>
        </w:rPr>
        <w:t>、协议有期限自</w:t>
      </w:r>
      <w:r>
        <w:rPr>
          <w:rFonts w:ascii="Times" w:hAnsi="Times" w:hint="eastAsia"/>
          <w:sz w:val="28"/>
          <w:szCs w:val="28"/>
        </w:rPr>
        <w:t>2023</w:t>
      </w:r>
      <w:r>
        <w:rPr>
          <w:rFonts w:ascii="Times" w:hAnsi="Times" w:hint="eastAsia"/>
          <w:sz w:val="28"/>
          <w:szCs w:val="28"/>
        </w:rPr>
        <w:t>年</w:t>
      </w:r>
      <w:r>
        <w:rPr>
          <w:rFonts w:ascii="Times" w:hAnsi="Times" w:hint="eastAsia"/>
          <w:sz w:val="28"/>
          <w:szCs w:val="28"/>
        </w:rPr>
        <w:t>3</w:t>
      </w:r>
      <w:r>
        <w:rPr>
          <w:rFonts w:ascii="Times" w:hAnsi="Times" w:hint="eastAsia"/>
          <w:sz w:val="28"/>
          <w:szCs w:val="28"/>
        </w:rPr>
        <w:t>月</w:t>
      </w:r>
      <w:r w:rsidR="00C657C5">
        <w:rPr>
          <w:rFonts w:ascii="Times" w:hAnsi="Times"/>
          <w:sz w:val="28"/>
          <w:szCs w:val="28"/>
        </w:rPr>
        <w:t>27</w:t>
      </w:r>
      <w:r>
        <w:rPr>
          <w:rFonts w:ascii="Times" w:hAnsi="Times" w:hint="eastAsia"/>
          <w:sz w:val="28"/>
          <w:szCs w:val="28"/>
        </w:rPr>
        <w:t>日起至</w:t>
      </w:r>
      <w:r>
        <w:rPr>
          <w:rFonts w:ascii="Times" w:hAnsi="Times" w:hint="eastAsia"/>
          <w:sz w:val="28"/>
          <w:szCs w:val="28"/>
        </w:rPr>
        <w:t>2026</w:t>
      </w:r>
      <w:r>
        <w:rPr>
          <w:rFonts w:ascii="Times" w:hAnsi="Times" w:hint="eastAsia"/>
          <w:sz w:val="28"/>
          <w:szCs w:val="28"/>
        </w:rPr>
        <w:t>年</w:t>
      </w:r>
      <w:r>
        <w:rPr>
          <w:rFonts w:ascii="Times" w:hAnsi="Times" w:hint="eastAsia"/>
          <w:sz w:val="28"/>
          <w:szCs w:val="28"/>
        </w:rPr>
        <w:t>3</w:t>
      </w:r>
      <w:r>
        <w:rPr>
          <w:rFonts w:ascii="Times" w:hAnsi="Times" w:hint="eastAsia"/>
          <w:sz w:val="28"/>
          <w:szCs w:val="28"/>
        </w:rPr>
        <w:t>月</w:t>
      </w:r>
      <w:r w:rsidR="00C657C5">
        <w:rPr>
          <w:rFonts w:ascii="Times" w:hAnsi="Times"/>
          <w:sz w:val="28"/>
          <w:szCs w:val="28"/>
        </w:rPr>
        <w:t>26</w:t>
      </w:r>
      <w:r>
        <w:rPr>
          <w:rFonts w:ascii="Times" w:hAnsi="Times" w:hint="eastAsia"/>
          <w:sz w:val="28"/>
          <w:szCs w:val="28"/>
        </w:rPr>
        <w:t>日止，期限三年。</w:t>
      </w:r>
    </w:p>
    <w:p w14:paraId="581EE539"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2</w:t>
      </w:r>
      <w:r>
        <w:rPr>
          <w:rFonts w:ascii="Times" w:hAnsi="Times" w:hint="eastAsia"/>
          <w:sz w:val="28"/>
          <w:szCs w:val="28"/>
        </w:rPr>
        <w:t>、协议到期后，经双方一致书面同意可以延长协议期限。</w:t>
      </w:r>
    </w:p>
    <w:p w14:paraId="344CA030"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（六）生效、变更、解除及终止</w:t>
      </w:r>
    </w:p>
    <w:p w14:paraId="7AAA1B2A"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1</w:t>
      </w:r>
      <w:r>
        <w:rPr>
          <w:rFonts w:ascii="Times" w:hAnsi="Times" w:hint="eastAsia"/>
          <w:sz w:val="28"/>
          <w:szCs w:val="28"/>
        </w:rPr>
        <w:t>、协议需经双方履行完毕内部审批程序、经双方法定代表人或授权代表签字并加盖公章之日起生效。</w:t>
      </w:r>
    </w:p>
    <w:p w14:paraId="6AE11045"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2</w:t>
      </w:r>
      <w:r>
        <w:rPr>
          <w:rFonts w:ascii="Times" w:hAnsi="Times" w:hint="eastAsia"/>
          <w:sz w:val="28"/>
          <w:szCs w:val="28"/>
        </w:rPr>
        <w:t>、双方在书面协商一致的情况下可以变更本协议内容、重新签</w:t>
      </w:r>
      <w:r>
        <w:rPr>
          <w:rFonts w:ascii="Times" w:hAnsi="Times" w:hint="eastAsia"/>
          <w:sz w:val="28"/>
          <w:szCs w:val="28"/>
        </w:rPr>
        <w:lastRenderedPageBreak/>
        <w:t>订书面战略合作协议。</w:t>
      </w:r>
    </w:p>
    <w:p w14:paraId="573A0434"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3</w:t>
      </w:r>
      <w:r>
        <w:rPr>
          <w:rFonts w:ascii="Times" w:hAnsi="Times" w:hint="eastAsia"/>
          <w:sz w:val="28"/>
          <w:szCs w:val="28"/>
        </w:rPr>
        <w:t>、双方对协议均享有解除权，任何一方解除协议须提前</w:t>
      </w:r>
      <w:r>
        <w:rPr>
          <w:rFonts w:ascii="Times" w:hAnsi="Times" w:hint="eastAsia"/>
          <w:sz w:val="28"/>
          <w:szCs w:val="28"/>
        </w:rPr>
        <w:t>1</w:t>
      </w:r>
      <w:r>
        <w:rPr>
          <w:rFonts w:ascii="Times" w:hAnsi="Times" w:hint="eastAsia"/>
          <w:sz w:val="28"/>
          <w:szCs w:val="28"/>
        </w:rPr>
        <w:t>个月书面通知对方。</w:t>
      </w:r>
    </w:p>
    <w:p w14:paraId="67C01056" w14:textId="77777777" w:rsidR="00382220"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三、对公司的影响</w:t>
      </w:r>
    </w:p>
    <w:p w14:paraId="4E3F9E17" w14:textId="34397249"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《战略合作协议》符合国家政策以及公司的长远战略发展规划，该合作协议内项目如能顺利实施，将有利于发挥公司综合业务优势，对公司未来的经营业绩产生积极影响，符合公司的发展战略和全体股东的利益。</w:t>
      </w:r>
    </w:p>
    <w:p w14:paraId="79A0B2F1" w14:textId="77777777" w:rsidR="00382220"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四、风险提示</w:t>
      </w:r>
    </w:p>
    <w:p w14:paraId="24FDB88B" w14:textId="741EF229"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本次签署的协议为战略合作协议，《战略合作协议》表明双方之间进行战略合作的总体意向，构成双方之间开展具体合作的基础，但并不构成双方之间对任何具体项目任务的达成或任何具体项目的协议。</w:t>
      </w:r>
    </w:p>
    <w:p w14:paraId="349D830A"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敬请广大投资者谨慎决策，注意投资风险。</w:t>
      </w:r>
    </w:p>
    <w:p w14:paraId="19B8E89B" w14:textId="77777777" w:rsidR="00382220"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五、备查文件</w:t>
      </w:r>
    </w:p>
    <w:p w14:paraId="65C05135" w14:textId="623CF22C"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《战略合作协议》</w:t>
      </w:r>
    </w:p>
    <w:p w14:paraId="1DF8425C" w14:textId="77777777" w:rsidR="00382220" w:rsidRDefault="00382220">
      <w:pPr>
        <w:adjustRightInd w:val="0"/>
        <w:snapToGrid w:val="0"/>
        <w:spacing w:before="50" w:after="50" w:line="360" w:lineRule="auto"/>
        <w:ind w:firstLine="420"/>
        <w:rPr>
          <w:rFonts w:ascii="Times" w:hAnsi="Times"/>
          <w:sz w:val="28"/>
          <w:szCs w:val="28"/>
        </w:rPr>
      </w:pPr>
    </w:p>
    <w:p w14:paraId="581690AC" w14:textId="77777777" w:rsidR="00382220"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特此公告。</w:t>
      </w:r>
    </w:p>
    <w:p w14:paraId="74B8FABC" w14:textId="77777777" w:rsidR="00382220" w:rsidRDefault="00382220">
      <w:pPr>
        <w:adjustRightInd w:val="0"/>
        <w:snapToGrid w:val="0"/>
        <w:spacing w:line="360" w:lineRule="auto"/>
        <w:ind w:firstLine="480"/>
        <w:jc w:val="right"/>
        <w:rPr>
          <w:rFonts w:ascii="Times" w:hAnsi="Times"/>
          <w:sz w:val="28"/>
          <w:szCs w:val="28"/>
        </w:rPr>
      </w:pPr>
    </w:p>
    <w:p w14:paraId="7777FFD8" w14:textId="77777777" w:rsidR="00382220" w:rsidRDefault="00000000">
      <w:pPr>
        <w:adjustRightInd w:val="0"/>
        <w:snapToGrid w:val="0"/>
        <w:spacing w:line="360" w:lineRule="auto"/>
        <w:ind w:firstLine="480"/>
        <w:jc w:val="right"/>
        <w:rPr>
          <w:rFonts w:ascii="Times" w:hAnsi="Times"/>
          <w:sz w:val="28"/>
          <w:szCs w:val="28"/>
        </w:rPr>
      </w:pPr>
      <w:r>
        <w:rPr>
          <w:rFonts w:ascii="Times" w:hAnsi="Times" w:hint="eastAsia"/>
          <w:sz w:val="28"/>
          <w:szCs w:val="28"/>
        </w:rPr>
        <w:t>钱江水利开发股份有限公司董事会</w:t>
      </w:r>
    </w:p>
    <w:p w14:paraId="519F03EB" w14:textId="29972509" w:rsidR="00382220" w:rsidRDefault="00000000">
      <w:pPr>
        <w:adjustRightInd w:val="0"/>
        <w:snapToGrid w:val="0"/>
        <w:spacing w:line="360" w:lineRule="auto"/>
        <w:ind w:firstLine="480"/>
        <w:jc w:val="right"/>
      </w:pPr>
      <w:r>
        <w:rPr>
          <w:rFonts w:ascii="Times" w:hAnsi="Times" w:hint="eastAsia"/>
          <w:sz w:val="28"/>
          <w:szCs w:val="28"/>
        </w:rPr>
        <w:t>20</w:t>
      </w:r>
      <w:r>
        <w:rPr>
          <w:rFonts w:ascii="Times" w:hAnsi="Times"/>
          <w:sz w:val="28"/>
          <w:szCs w:val="28"/>
        </w:rPr>
        <w:t>23</w:t>
      </w:r>
      <w:r>
        <w:rPr>
          <w:rFonts w:ascii="Times" w:hAnsi="Times" w:hint="eastAsia"/>
          <w:sz w:val="28"/>
          <w:szCs w:val="28"/>
        </w:rPr>
        <w:t>年</w:t>
      </w:r>
      <w:r>
        <w:rPr>
          <w:rFonts w:ascii="Times" w:hAnsi="Times"/>
          <w:sz w:val="28"/>
          <w:szCs w:val="28"/>
        </w:rPr>
        <w:t>3</w:t>
      </w:r>
      <w:r>
        <w:rPr>
          <w:rFonts w:ascii="Times" w:hAnsi="Times" w:hint="eastAsia"/>
          <w:sz w:val="28"/>
          <w:szCs w:val="28"/>
        </w:rPr>
        <w:t>月</w:t>
      </w:r>
      <w:r w:rsidR="00C657C5">
        <w:rPr>
          <w:rFonts w:ascii="Times" w:hAnsi="Times" w:hint="eastAsia"/>
          <w:sz w:val="28"/>
          <w:szCs w:val="28"/>
        </w:rPr>
        <w:t>2</w:t>
      </w:r>
      <w:r w:rsidR="00C657C5">
        <w:rPr>
          <w:rFonts w:ascii="Times" w:hAnsi="Times"/>
          <w:sz w:val="28"/>
          <w:szCs w:val="28"/>
        </w:rPr>
        <w:t>8</w:t>
      </w:r>
      <w:r>
        <w:rPr>
          <w:rFonts w:ascii="Times" w:hAnsi="Times" w:hint="eastAsia"/>
          <w:sz w:val="28"/>
          <w:szCs w:val="28"/>
        </w:rPr>
        <w:t>日</w:t>
      </w:r>
    </w:p>
    <w:sectPr w:rsidR="00382220">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4988" w14:textId="77777777" w:rsidR="0025614A" w:rsidRDefault="0025614A">
      <w:r>
        <w:separator/>
      </w:r>
    </w:p>
  </w:endnote>
  <w:endnote w:type="continuationSeparator" w:id="0">
    <w:p w14:paraId="41AC6E75" w14:textId="77777777" w:rsidR="0025614A" w:rsidRDefault="0025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963A" w14:textId="77777777" w:rsidR="00382220" w:rsidRDefault="00000000">
    <w:pPr>
      <w:pStyle w:val="a7"/>
      <w:jc w:val="center"/>
    </w:pPr>
    <w:r>
      <w:fldChar w:fldCharType="begin"/>
    </w:r>
    <w:r>
      <w:instrText>PAGE   \* MERGEFORMAT</w:instrText>
    </w:r>
    <w:r>
      <w:fldChar w:fldCharType="separate"/>
    </w:r>
    <w:r>
      <w:rPr>
        <w:lang w:val="zh-CN"/>
      </w:rPr>
      <w:t>4</w:t>
    </w:r>
    <w:r>
      <w:fldChar w:fldCharType="end"/>
    </w:r>
  </w:p>
  <w:p w14:paraId="515BD4AF" w14:textId="77777777" w:rsidR="00382220" w:rsidRDefault="003822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1A07" w14:textId="77777777" w:rsidR="0025614A" w:rsidRDefault="0025614A">
      <w:r>
        <w:separator/>
      </w:r>
    </w:p>
  </w:footnote>
  <w:footnote w:type="continuationSeparator" w:id="0">
    <w:p w14:paraId="0D43CB20" w14:textId="77777777" w:rsidR="0025614A" w:rsidRDefault="0025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47E5"/>
    <w:multiLevelType w:val="multilevel"/>
    <w:tmpl w:val="1E5B47E5"/>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16cid:durableId="190344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AA"/>
    <w:rsid w:val="0000403A"/>
    <w:rsid w:val="0001615E"/>
    <w:rsid w:val="0002701C"/>
    <w:rsid w:val="00047BBC"/>
    <w:rsid w:val="00060ED8"/>
    <w:rsid w:val="0007095A"/>
    <w:rsid w:val="00077545"/>
    <w:rsid w:val="000B34B9"/>
    <w:rsid w:val="000B6A7E"/>
    <w:rsid w:val="000C0B06"/>
    <w:rsid w:val="000D7D52"/>
    <w:rsid w:val="000E2F86"/>
    <w:rsid w:val="000F47CD"/>
    <w:rsid w:val="00100B36"/>
    <w:rsid w:val="00101CC0"/>
    <w:rsid w:val="001266EE"/>
    <w:rsid w:val="00127BF2"/>
    <w:rsid w:val="00131BFD"/>
    <w:rsid w:val="001349AD"/>
    <w:rsid w:val="00184517"/>
    <w:rsid w:val="00191671"/>
    <w:rsid w:val="001946D6"/>
    <w:rsid w:val="001A4281"/>
    <w:rsid w:val="001A5F4C"/>
    <w:rsid w:val="001B2082"/>
    <w:rsid w:val="001E1ABE"/>
    <w:rsid w:val="001E42BF"/>
    <w:rsid w:val="001F214E"/>
    <w:rsid w:val="001F5144"/>
    <w:rsid w:val="001F530B"/>
    <w:rsid w:val="00207A26"/>
    <w:rsid w:val="00223760"/>
    <w:rsid w:val="002252F3"/>
    <w:rsid w:val="00236368"/>
    <w:rsid w:val="00246223"/>
    <w:rsid w:val="0025614A"/>
    <w:rsid w:val="002653F5"/>
    <w:rsid w:val="00266770"/>
    <w:rsid w:val="00266E8B"/>
    <w:rsid w:val="002952A1"/>
    <w:rsid w:val="002B03A5"/>
    <w:rsid w:val="002B0FB8"/>
    <w:rsid w:val="002B67D9"/>
    <w:rsid w:val="002E22B4"/>
    <w:rsid w:val="002E6652"/>
    <w:rsid w:val="002F3184"/>
    <w:rsid w:val="003041E7"/>
    <w:rsid w:val="00322D8F"/>
    <w:rsid w:val="00357FF4"/>
    <w:rsid w:val="00382220"/>
    <w:rsid w:val="003921C6"/>
    <w:rsid w:val="0039314D"/>
    <w:rsid w:val="003A1FDF"/>
    <w:rsid w:val="003B7EB4"/>
    <w:rsid w:val="003D5B90"/>
    <w:rsid w:val="004053D7"/>
    <w:rsid w:val="0042431A"/>
    <w:rsid w:val="00432FCE"/>
    <w:rsid w:val="0043477E"/>
    <w:rsid w:val="00452C88"/>
    <w:rsid w:val="004555E6"/>
    <w:rsid w:val="00470E95"/>
    <w:rsid w:val="00473F47"/>
    <w:rsid w:val="00487177"/>
    <w:rsid w:val="00492228"/>
    <w:rsid w:val="00492FE8"/>
    <w:rsid w:val="004B1E5C"/>
    <w:rsid w:val="004B7197"/>
    <w:rsid w:val="004D0251"/>
    <w:rsid w:val="004D3C44"/>
    <w:rsid w:val="00512DC3"/>
    <w:rsid w:val="0052062A"/>
    <w:rsid w:val="00525D4E"/>
    <w:rsid w:val="0056627E"/>
    <w:rsid w:val="00570E08"/>
    <w:rsid w:val="005920F5"/>
    <w:rsid w:val="005A287A"/>
    <w:rsid w:val="005A352C"/>
    <w:rsid w:val="005B1814"/>
    <w:rsid w:val="00610CC9"/>
    <w:rsid w:val="00612579"/>
    <w:rsid w:val="006545AA"/>
    <w:rsid w:val="00657370"/>
    <w:rsid w:val="00671DBF"/>
    <w:rsid w:val="00672DC3"/>
    <w:rsid w:val="006A0A75"/>
    <w:rsid w:val="006A0CCE"/>
    <w:rsid w:val="006C4AF3"/>
    <w:rsid w:val="006C656B"/>
    <w:rsid w:val="006D102B"/>
    <w:rsid w:val="006D2693"/>
    <w:rsid w:val="006D2FF1"/>
    <w:rsid w:val="006F62F9"/>
    <w:rsid w:val="00700CC6"/>
    <w:rsid w:val="00743535"/>
    <w:rsid w:val="00743DA2"/>
    <w:rsid w:val="00747114"/>
    <w:rsid w:val="00757861"/>
    <w:rsid w:val="007704EA"/>
    <w:rsid w:val="00770524"/>
    <w:rsid w:val="00792F35"/>
    <w:rsid w:val="007A0A39"/>
    <w:rsid w:val="007A789B"/>
    <w:rsid w:val="007B0156"/>
    <w:rsid w:val="007B1220"/>
    <w:rsid w:val="007E34A7"/>
    <w:rsid w:val="007F5B8C"/>
    <w:rsid w:val="0080470F"/>
    <w:rsid w:val="008075CD"/>
    <w:rsid w:val="00814190"/>
    <w:rsid w:val="008207FB"/>
    <w:rsid w:val="008218EA"/>
    <w:rsid w:val="008273E6"/>
    <w:rsid w:val="008334FD"/>
    <w:rsid w:val="008352A1"/>
    <w:rsid w:val="0085385B"/>
    <w:rsid w:val="008576DB"/>
    <w:rsid w:val="008B411D"/>
    <w:rsid w:val="008B4B3C"/>
    <w:rsid w:val="008C10DC"/>
    <w:rsid w:val="008E7325"/>
    <w:rsid w:val="008F35A2"/>
    <w:rsid w:val="008F4CD0"/>
    <w:rsid w:val="00902AB1"/>
    <w:rsid w:val="0091649F"/>
    <w:rsid w:val="009276AE"/>
    <w:rsid w:val="009315DD"/>
    <w:rsid w:val="00933A20"/>
    <w:rsid w:val="00952A6B"/>
    <w:rsid w:val="00965238"/>
    <w:rsid w:val="00967878"/>
    <w:rsid w:val="00970676"/>
    <w:rsid w:val="009849C0"/>
    <w:rsid w:val="0099484C"/>
    <w:rsid w:val="009A7C8C"/>
    <w:rsid w:val="009B7B7B"/>
    <w:rsid w:val="009C406F"/>
    <w:rsid w:val="009D0126"/>
    <w:rsid w:val="009D215D"/>
    <w:rsid w:val="009D2E49"/>
    <w:rsid w:val="009D3242"/>
    <w:rsid w:val="009D42BE"/>
    <w:rsid w:val="009F05EF"/>
    <w:rsid w:val="00A1007E"/>
    <w:rsid w:val="00A11C94"/>
    <w:rsid w:val="00A141D8"/>
    <w:rsid w:val="00A24172"/>
    <w:rsid w:val="00A27FDF"/>
    <w:rsid w:val="00A42B18"/>
    <w:rsid w:val="00A50BA3"/>
    <w:rsid w:val="00A679D9"/>
    <w:rsid w:val="00A81ACF"/>
    <w:rsid w:val="00A81D4F"/>
    <w:rsid w:val="00A85978"/>
    <w:rsid w:val="00AA25A7"/>
    <w:rsid w:val="00AA3402"/>
    <w:rsid w:val="00AC31D5"/>
    <w:rsid w:val="00AC6325"/>
    <w:rsid w:val="00AD68CD"/>
    <w:rsid w:val="00AE5F50"/>
    <w:rsid w:val="00B0057A"/>
    <w:rsid w:val="00B07EAF"/>
    <w:rsid w:val="00B119D9"/>
    <w:rsid w:val="00B205BB"/>
    <w:rsid w:val="00B22318"/>
    <w:rsid w:val="00B50293"/>
    <w:rsid w:val="00B51DF8"/>
    <w:rsid w:val="00B56221"/>
    <w:rsid w:val="00B63750"/>
    <w:rsid w:val="00BA65DC"/>
    <w:rsid w:val="00BC4E94"/>
    <w:rsid w:val="00BF4D31"/>
    <w:rsid w:val="00C10CB7"/>
    <w:rsid w:val="00C11E7D"/>
    <w:rsid w:val="00C161D5"/>
    <w:rsid w:val="00C263A8"/>
    <w:rsid w:val="00C35B59"/>
    <w:rsid w:val="00C360AA"/>
    <w:rsid w:val="00C5316C"/>
    <w:rsid w:val="00C60569"/>
    <w:rsid w:val="00C62DEC"/>
    <w:rsid w:val="00C636E3"/>
    <w:rsid w:val="00C6526C"/>
    <w:rsid w:val="00C657C5"/>
    <w:rsid w:val="00C83A18"/>
    <w:rsid w:val="00C90AA9"/>
    <w:rsid w:val="00CA47D6"/>
    <w:rsid w:val="00CB5FEF"/>
    <w:rsid w:val="00CD2CB9"/>
    <w:rsid w:val="00CE103E"/>
    <w:rsid w:val="00CE2DB6"/>
    <w:rsid w:val="00D33CDF"/>
    <w:rsid w:val="00D34C83"/>
    <w:rsid w:val="00D434F8"/>
    <w:rsid w:val="00D75FF0"/>
    <w:rsid w:val="00D76830"/>
    <w:rsid w:val="00D856F6"/>
    <w:rsid w:val="00D95F1C"/>
    <w:rsid w:val="00DB6A3D"/>
    <w:rsid w:val="00DC657B"/>
    <w:rsid w:val="00DD0638"/>
    <w:rsid w:val="00DD4ACD"/>
    <w:rsid w:val="00DD5090"/>
    <w:rsid w:val="00DE0E3F"/>
    <w:rsid w:val="00DE5539"/>
    <w:rsid w:val="00E115C7"/>
    <w:rsid w:val="00E36718"/>
    <w:rsid w:val="00E63F56"/>
    <w:rsid w:val="00E67698"/>
    <w:rsid w:val="00E67A4C"/>
    <w:rsid w:val="00E7498F"/>
    <w:rsid w:val="00E91854"/>
    <w:rsid w:val="00EA030C"/>
    <w:rsid w:val="00EA1AD2"/>
    <w:rsid w:val="00EA2127"/>
    <w:rsid w:val="00EB0F57"/>
    <w:rsid w:val="00ED08BE"/>
    <w:rsid w:val="00EE13B4"/>
    <w:rsid w:val="00EE5B25"/>
    <w:rsid w:val="00EE6D60"/>
    <w:rsid w:val="00F005B4"/>
    <w:rsid w:val="00F13F48"/>
    <w:rsid w:val="00F20C30"/>
    <w:rsid w:val="00F7576B"/>
    <w:rsid w:val="00F760CA"/>
    <w:rsid w:val="00FA1ECC"/>
    <w:rsid w:val="00FD2A12"/>
    <w:rsid w:val="00FF1C11"/>
    <w:rsid w:val="08360F89"/>
    <w:rsid w:val="13787E6C"/>
    <w:rsid w:val="152E01E8"/>
    <w:rsid w:val="1BAB58A3"/>
    <w:rsid w:val="2A9A0C78"/>
    <w:rsid w:val="2C0F0FE7"/>
    <w:rsid w:val="2CD4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C12B"/>
  <w15:docId w15:val="{48B68540-F69F-410D-9F77-D21919CF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rPr>
      <w:sz w:val="21"/>
      <w:szCs w:val="21"/>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8">
    <w:name w:val="页脚 字符"/>
    <w:basedOn w:val="a0"/>
    <w:link w:val="a7"/>
    <w:uiPriority w:val="99"/>
    <w:qFormat/>
    <w:rPr>
      <w:rFonts w:ascii="Times New Roman" w:eastAsia="宋体" w:hAnsi="Times New Roman" w:cs="Times New Roman"/>
      <w:sz w:val="18"/>
      <w:szCs w:val="20"/>
    </w:rPr>
  </w:style>
  <w:style w:type="paragraph" w:customStyle="1" w:styleId="p0">
    <w:name w:val="p0"/>
    <w:basedOn w:val="a"/>
    <w:qFormat/>
    <w:pPr>
      <w:widowControl/>
    </w:pPr>
    <w:rPr>
      <w:rFonts w:ascii="Book Antiqua" w:hAnsi="Book Antiqua" w:cs="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customStyle="1" w:styleId="2">
    <w:name w:val="修订2"/>
    <w:hidden/>
    <w:uiPriority w:val="99"/>
    <w:semiHidden/>
    <w:rPr>
      <w:rFonts w:ascii="Times New Roman" w:eastAsia="宋体" w:hAnsi="Times New Roman" w:cs="Times New Roman"/>
      <w:kern w:val="2"/>
      <w:sz w:val="21"/>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c">
    <w:name w:val="批注主题 字符"/>
    <w:basedOn w:val="a4"/>
    <w:link w:val="ab"/>
    <w:uiPriority w:val="99"/>
    <w:semiHidden/>
    <w:qFormat/>
    <w:rPr>
      <w:rFonts w:ascii="Times New Roman" w:eastAsia="宋体" w:hAnsi="Times New Roman" w:cs="Times New Roman"/>
      <w:b/>
      <w:bCs/>
      <w:kern w:val="2"/>
      <w:sz w:val="21"/>
    </w:rPr>
  </w:style>
  <w:style w:type="paragraph" w:customStyle="1" w:styleId="3">
    <w:name w:val="修订3"/>
    <w:hidden/>
    <w:uiPriority w:val="99"/>
    <w:semiHidden/>
    <w:qFormat/>
    <w:rPr>
      <w:rFonts w:ascii="Times New Roman" w:eastAsia="宋体" w:hAnsi="Times New Roman" w:cs="Times New Roman"/>
      <w:kern w:val="2"/>
      <w:sz w:val="21"/>
    </w:rPr>
  </w:style>
  <w:style w:type="paragraph" w:styleId="af">
    <w:name w:val="Revision"/>
    <w:hidden/>
    <w:uiPriority w:val="99"/>
    <w:semiHidden/>
    <w:rsid w:val="00FA1ECC"/>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057BC3-0636-443B-AAD0-29AEB379A6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314</Words>
  <Characters>1794</Characters>
  <Application>Microsoft Office Word</Application>
  <DocSecurity>0</DocSecurity>
  <Lines>14</Lines>
  <Paragraphs>4</Paragraphs>
  <ScaleCrop>false</ScaleCrop>
  <Company>P R C</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庄喻雯</cp:lastModifiedBy>
  <cp:revision>9</cp:revision>
  <dcterms:created xsi:type="dcterms:W3CDTF">2023-03-06T09:05:00Z</dcterms:created>
  <dcterms:modified xsi:type="dcterms:W3CDTF">2023-03-27T12:26:00Z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