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9718F" w14:textId="77777777" w:rsidR="00D82AF8" w:rsidRDefault="00000000">
      <w:pPr>
        <w:spacing w:line="54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比选文件</w:t>
      </w:r>
    </w:p>
    <w:p w14:paraId="2996656D" w14:textId="77777777" w:rsidR="00D82AF8" w:rsidRDefault="00D82AF8">
      <w:pPr>
        <w:pStyle w:val="TOC1"/>
      </w:pPr>
    </w:p>
    <w:p w14:paraId="09BDBE6C" w14:textId="77777777" w:rsidR="00D82AF8" w:rsidRDefault="00000000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一、项目概况</w:t>
      </w:r>
    </w:p>
    <w:p w14:paraId="01853999" w14:textId="75654CAA" w:rsidR="0057679C" w:rsidRPr="00514901" w:rsidRDefault="0057679C" w:rsidP="0057679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2022年1月，上交所修订《股票上市规则》并发布《自律监管指引第1号——规范运作》等指引性文件，要求上市公司形成社会责任战略规划及工作机制、履行环境保护责任，并明确相关信息披露内容及要求等，并鼓励有条件的上市公司，在年度报告披露的同时披露相关非财务报告；并于同日发布《自律监管指引第9号——信息披露工作评价》，将上市公司履行社会责任的披露情况纳入信息披露评价中。2022年5月，国务院国资委印发《提高央企控股上市公司质量工作方案》，对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提高央企控股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上市公司质量工作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部署，明确提出“贯彻落实新发展理念，探索建立健全ESG体系”，推动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更多央企控股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市公司披露ESG专项报告。ESG报告的编制及披露已成为监管关注的重点事项之一，为确保公司能满足积极参与构建具有中国特色的ESG信息披露规则、ESG绩效评级和ESG投资指引，为中国ESG发展贡献力量，提升公司发展质量，拟开展采购ESG咨询服务机构。要求ESG报告出具时间不晚于2024年年度报告披露时间，后续服务要求根据工作推进情况而定。服务期1年，服务内容具体如下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8"/>
        <w:gridCol w:w="1413"/>
        <w:gridCol w:w="6063"/>
      </w:tblGrid>
      <w:tr w:rsidR="0057679C" w14:paraId="5819A22E" w14:textId="77777777" w:rsidTr="00642B81">
        <w:tc>
          <w:tcPr>
            <w:tcW w:w="1018" w:type="dxa"/>
          </w:tcPr>
          <w:p w14:paraId="6EFF45DF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3" w:type="dxa"/>
          </w:tcPr>
          <w:p w14:paraId="52286B0E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6063" w:type="dxa"/>
          </w:tcPr>
          <w:p w14:paraId="739FE4CE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服务内容</w:t>
            </w:r>
          </w:p>
        </w:tc>
      </w:tr>
      <w:tr w:rsidR="0057679C" w14:paraId="6DD3D63E" w14:textId="77777777" w:rsidTr="00642B81">
        <w:tc>
          <w:tcPr>
            <w:tcW w:w="1018" w:type="dxa"/>
            <w:vAlign w:val="center"/>
          </w:tcPr>
          <w:p w14:paraId="6A6F958D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13" w:type="dxa"/>
            <w:vMerge w:val="restart"/>
            <w:vAlign w:val="center"/>
          </w:tcPr>
          <w:p w14:paraId="55C93011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报告编制</w:t>
            </w:r>
          </w:p>
        </w:tc>
        <w:tc>
          <w:tcPr>
            <w:tcW w:w="6063" w:type="dxa"/>
          </w:tcPr>
          <w:p w14:paraId="2245E0F5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项目启动</w:t>
            </w:r>
            <w:proofErr w:type="gramStart"/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暨员工</w:t>
            </w:r>
            <w:proofErr w:type="gramEnd"/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ESG培训会（面对全体员工进行ESG培训，主要内容围绕ESG宏观情况、行业情况、公司管理</w:t>
            </w:r>
            <w:proofErr w:type="gramStart"/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架构等凳面</w:t>
            </w:r>
            <w:proofErr w:type="gramEnd"/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展开）。</w:t>
            </w:r>
          </w:p>
        </w:tc>
      </w:tr>
      <w:tr w:rsidR="0057679C" w14:paraId="148178D0" w14:textId="77777777" w:rsidTr="00642B81">
        <w:tc>
          <w:tcPr>
            <w:tcW w:w="1018" w:type="dxa"/>
            <w:vAlign w:val="center"/>
          </w:tcPr>
          <w:p w14:paraId="72CEEE0C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3" w:type="dxa"/>
            <w:vMerge/>
            <w:vAlign w:val="center"/>
          </w:tcPr>
          <w:p w14:paraId="078F475C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63" w:type="dxa"/>
          </w:tcPr>
          <w:p w14:paraId="1EB157C9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编撰企业ESG报告文字版：包括但不限于确定项目组、ESG指标对</w:t>
            </w:r>
            <w:proofErr w:type="gramStart"/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标分析</w:t>
            </w:r>
            <w:proofErr w:type="gramEnd"/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与企业体系构建、编制调查问卷并形成企业ESG核心议题、完成初稿、文字审核、定稿、校对等工作。</w:t>
            </w:r>
          </w:p>
        </w:tc>
      </w:tr>
      <w:tr w:rsidR="0057679C" w14:paraId="453B0E9A" w14:textId="77777777" w:rsidTr="00642B81">
        <w:tc>
          <w:tcPr>
            <w:tcW w:w="1018" w:type="dxa"/>
            <w:vAlign w:val="center"/>
          </w:tcPr>
          <w:p w14:paraId="46047F48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13" w:type="dxa"/>
            <w:vMerge w:val="restart"/>
            <w:vAlign w:val="center"/>
          </w:tcPr>
          <w:p w14:paraId="3593BE14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设计制作</w:t>
            </w:r>
          </w:p>
          <w:p w14:paraId="7FEFE5B2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（应遵循公司VI规范）</w:t>
            </w:r>
          </w:p>
        </w:tc>
        <w:tc>
          <w:tcPr>
            <w:tcW w:w="6063" w:type="dxa"/>
          </w:tcPr>
          <w:p w14:paraId="314BD51A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ESG报告封面设计（不少于2版初稿供评选）。</w:t>
            </w:r>
          </w:p>
        </w:tc>
      </w:tr>
      <w:tr w:rsidR="0057679C" w14:paraId="58F07E36" w14:textId="77777777" w:rsidTr="00642B81">
        <w:tc>
          <w:tcPr>
            <w:tcW w:w="1018" w:type="dxa"/>
            <w:vAlign w:val="center"/>
          </w:tcPr>
          <w:p w14:paraId="05AC00B7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13" w:type="dxa"/>
            <w:vMerge/>
            <w:vAlign w:val="center"/>
          </w:tcPr>
          <w:p w14:paraId="32A42CFF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63" w:type="dxa"/>
          </w:tcPr>
          <w:p w14:paraId="5F5EF52C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内页版式设计及排版（1版）。</w:t>
            </w:r>
          </w:p>
        </w:tc>
      </w:tr>
      <w:tr w:rsidR="0057679C" w14:paraId="7634D20B" w14:textId="77777777" w:rsidTr="00642B81">
        <w:tc>
          <w:tcPr>
            <w:tcW w:w="1018" w:type="dxa"/>
            <w:vAlign w:val="center"/>
          </w:tcPr>
          <w:p w14:paraId="1D26C6AB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13" w:type="dxa"/>
            <w:vMerge/>
            <w:vAlign w:val="center"/>
          </w:tcPr>
          <w:p w14:paraId="73A05AEB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63" w:type="dxa"/>
          </w:tcPr>
          <w:p w14:paraId="69CCF08A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一图读懂钱江水利2024年ESG报告设计（1版）。</w:t>
            </w:r>
          </w:p>
        </w:tc>
      </w:tr>
      <w:tr w:rsidR="0057679C" w14:paraId="0A35482E" w14:textId="77777777" w:rsidTr="00642B81">
        <w:tc>
          <w:tcPr>
            <w:tcW w:w="1018" w:type="dxa"/>
            <w:vAlign w:val="center"/>
          </w:tcPr>
          <w:p w14:paraId="636AF01F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13" w:type="dxa"/>
            <w:vMerge w:val="restart"/>
            <w:vAlign w:val="center"/>
          </w:tcPr>
          <w:p w14:paraId="188AC67B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交付</w:t>
            </w:r>
          </w:p>
        </w:tc>
        <w:tc>
          <w:tcPr>
            <w:tcW w:w="6063" w:type="dxa"/>
          </w:tcPr>
          <w:p w14:paraId="1EED21C5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报告电子版（含Word文字稿件及设计版）（1份）。</w:t>
            </w:r>
          </w:p>
        </w:tc>
      </w:tr>
      <w:tr w:rsidR="0057679C" w14:paraId="716F71F9" w14:textId="77777777" w:rsidTr="00642B81">
        <w:tc>
          <w:tcPr>
            <w:tcW w:w="1018" w:type="dxa"/>
            <w:vAlign w:val="center"/>
          </w:tcPr>
          <w:p w14:paraId="391EB65F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413" w:type="dxa"/>
            <w:vMerge/>
            <w:vAlign w:val="center"/>
          </w:tcPr>
          <w:p w14:paraId="6A47340C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63" w:type="dxa"/>
          </w:tcPr>
          <w:p w14:paraId="48A4B2E2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ESG报告第三方评价。</w:t>
            </w:r>
          </w:p>
        </w:tc>
      </w:tr>
      <w:tr w:rsidR="0057679C" w14:paraId="65BF446A" w14:textId="77777777" w:rsidTr="00642B81">
        <w:tc>
          <w:tcPr>
            <w:tcW w:w="1018" w:type="dxa"/>
            <w:vAlign w:val="center"/>
          </w:tcPr>
          <w:p w14:paraId="5B74508C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13" w:type="dxa"/>
            <w:vMerge w:val="restart"/>
            <w:vAlign w:val="center"/>
          </w:tcPr>
          <w:p w14:paraId="1842E4B3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</w:t>
            </w:r>
          </w:p>
        </w:tc>
        <w:tc>
          <w:tcPr>
            <w:tcW w:w="6063" w:type="dxa"/>
          </w:tcPr>
          <w:p w14:paraId="594C78B3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ESG报告价值传播：刊登于主流财经媒体的ESG报告新闻稿及深度解读，同时提供不少于20家网站的文字链传播。披露后协助传递公司ESG报告传播，提升公司资本市场美誉和影响力，提升公司投资价值。</w:t>
            </w:r>
          </w:p>
        </w:tc>
      </w:tr>
      <w:tr w:rsidR="0057679C" w14:paraId="592EAD98" w14:textId="77777777" w:rsidTr="00642B81">
        <w:tc>
          <w:tcPr>
            <w:tcW w:w="1018" w:type="dxa"/>
            <w:vAlign w:val="center"/>
          </w:tcPr>
          <w:p w14:paraId="75B08B18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413" w:type="dxa"/>
            <w:vMerge/>
          </w:tcPr>
          <w:p w14:paraId="10D509D6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63" w:type="dxa"/>
          </w:tcPr>
          <w:p w14:paraId="57E722CB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协助公司申报国内ESG专业奖项。帮助公司获得相应奖项至少1个。</w:t>
            </w:r>
          </w:p>
        </w:tc>
      </w:tr>
      <w:tr w:rsidR="0057679C" w14:paraId="56D74429" w14:textId="77777777" w:rsidTr="00642B81">
        <w:tc>
          <w:tcPr>
            <w:tcW w:w="1018" w:type="dxa"/>
            <w:vAlign w:val="center"/>
          </w:tcPr>
          <w:p w14:paraId="6EC696FA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13" w:type="dxa"/>
            <w:vMerge/>
          </w:tcPr>
          <w:p w14:paraId="539AF133" w14:textId="77777777" w:rsidR="0057679C" w:rsidRPr="00514901" w:rsidRDefault="0057679C" w:rsidP="00642B8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63" w:type="dxa"/>
          </w:tcPr>
          <w:p w14:paraId="7A241F72" w14:textId="77777777" w:rsidR="0057679C" w:rsidRPr="00514901" w:rsidRDefault="0057679C" w:rsidP="00642B81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51490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ESG管制构架咨询：协助公司进行ESG管制构架搭建的文件优化、案例搜集等咨询工作，协助公司相关工作落地。</w:t>
            </w:r>
          </w:p>
        </w:tc>
      </w:tr>
    </w:tbl>
    <w:p w14:paraId="25167DFB" w14:textId="77777777" w:rsidR="00D82AF8" w:rsidRPr="00B2105B" w:rsidRDefault="00000000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B2105B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二、控制价</w:t>
      </w:r>
    </w:p>
    <w:p w14:paraId="6AEBCF9C" w14:textId="4844D94E" w:rsidR="00D82AF8" w:rsidRPr="00B2105B" w:rsidRDefault="0057679C">
      <w:pPr>
        <w:spacing w:after="0"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本项目</w:t>
      </w:r>
      <w:r w:rsidRPr="0057679C">
        <w:rPr>
          <w:rFonts w:ascii="仿宋" w:eastAsia="仿宋" w:hAnsi="仿宋" w:cs="Arial" w:hint="eastAsia"/>
          <w:kern w:val="0"/>
          <w:sz w:val="32"/>
          <w:szCs w:val="32"/>
        </w:rPr>
        <w:t>设置控制价15万元。（含税）</w:t>
      </w:r>
      <w:r w:rsidRPr="00B2105B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14:paraId="7388942C" w14:textId="77777777" w:rsidR="00D82AF8" w:rsidRDefault="00000000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三、供应商资格要求</w:t>
      </w:r>
    </w:p>
    <w:p w14:paraId="032B9C18" w14:textId="77777777" w:rsidR="0057679C" w:rsidRDefault="0057679C" w:rsidP="0057679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1.具有独立法人资格，具有独立承担民事责任的能力，持有工商行政管理部门颁发的营业执照，能独立向采购人提供本项目所需服务；</w:t>
      </w:r>
    </w:p>
    <w:p w14:paraId="1E340541" w14:textId="77777777" w:rsidR="0057679C" w:rsidRDefault="0057679C" w:rsidP="0057679C">
      <w:pPr>
        <w:pStyle w:val="1"/>
        <w:spacing w:after="0" w:line="56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2.具备良好的市场信誉，最近五年无违法和重大违规执业行为，没有处于被责令停业、破产和财产被接管、冻结的状态，在政府采购活动中没有严重违法失信行为记录；</w:t>
      </w:r>
    </w:p>
    <w:p w14:paraId="2879A98D" w14:textId="0DD7786F" w:rsidR="00D82AF8" w:rsidRDefault="00000000" w:rsidP="0057679C">
      <w:pPr>
        <w:pStyle w:val="1"/>
        <w:spacing w:after="0" w:line="560" w:lineRule="exact"/>
        <w:ind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四、报价要求</w:t>
      </w:r>
    </w:p>
    <w:p w14:paraId="5E6A4024" w14:textId="776127C3" w:rsidR="00D82AF8" w:rsidRDefault="00000000" w:rsidP="0057679C">
      <w:pPr>
        <w:pStyle w:val="1"/>
        <w:spacing w:after="0" w:line="560" w:lineRule="exact"/>
        <w:ind w:firstLine="640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响应单位须根据服务要求对项目</w:t>
      </w:r>
      <w:r w:rsidR="0057679C">
        <w:rPr>
          <w:rFonts w:ascii="仿宋" w:eastAsia="仿宋" w:hAnsi="仿宋" w:cs="Arial" w:hint="eastAsia"/>
          <w:kern w:val="0"/>
          <w:sz w:val="32"/>
          <w:szCs w:val="32"/>
        </w:rPr>
        <w:t>进行一次性报价，并于响应截止时间前提交</w:t>
      </w:r>
      <w:r>
        <w:rPr>
          <w:rFonts w:ascii="仿宋" w:eastAsia="仿宋" w:hAnsi="仿宋" w:cs="Arial" w:hint="eastAsia"/>
          <w:kern w:val="0"/>
          <w:sz w:val="32"/>
          <w:szCs w:val="32"/>
        </w:rPr>
        <w:t>方案</w:t>
      </w:r>
      <w:r w:rsidR="0057679C">
        <w:rPr>
          <w:rFonts w:ascii="仿宋" w:eastAsia="仿宋" w:hAnsi="仿宋" w:cs="Arial" w:hint="eastAsia"/>
          <w:kern w:val="0"/>
          <w:sz w:val="32"/>
          <w:szCs w:val="32"/>
        </w:rPr>
        <w:t>、营业执照等相关响应文件。</w:t>
      </w:r>
    </w:p>
    <w:p w14:paraId="2D2B8E94" w14:textId="77777777" w:rsidR="00D82AF8" w:rsidRDefault="00FC1EE3">
      <w:pPr>
        <w:pStyle w:val="1"/>
        <w:spacing w:after="0" w:line="560" w:lineRule="exact"/>
        <w:ind w:left="140" w:firstLineChars="150" w:firstLine="48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9A23D1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五、</w:t>
      </w: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响应文件要求</w:t>
      </w:r>
    </w:p>
    <w:p w14:paraId="6839F759" w14:textId="24A9F828" w:rsidR="00D82AF8" w:rsidRDefault="00120081" w:rsidP="00120081">
      <w:pPr>
        <w:pStyle w:val="1"/>
        <w:spacing w:after="0" w:line="560" w:lineRule="exact"/>
        <w:ind w:left="140" w:firstLineChars="150" w:firstLine="480"/>
        <w:rPr>
          <w:rFonts w:ascii="仿宋" w:eastAsia="仿宋" w:hAnsi="仿宋" w:cs="Arial" w:hint="eastAsia"/>
          <w:kern w:val="0"/>
          <w:sz w:val="32"/>
          <w:szCs w:val="32"/>
        </w:rPr>
      </w:pPr>
      <w:r w:rsidRPr="002237C4">
        <w:rPr>
          <w:rFonts w:ascii="仿宋" w:eastAsia="仿宋" w:hAnsi="仿宋" w:cs="Arial" w:hint="eastAsia"/>
          <w:kern w:val="0"/>
          <w:sz w:val="32"/>
          <w:szCs w:val="32"/>
        </w:rPr>
        <w:t>响应文件要求见附件2。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</w:p>
    <w:p w14:paraId="12D2FFC8" w14:textId="77777777" w:rsidR="00D82AF8" w:rsidRDefault="00FC1EE3">
      <w:pPr>
        <w:adjustRightInd w:val="0"/>
        <w:snapToGrid w:val="0"/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9A23D1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六、</w:t>
      </w: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评审方法</w:t>
      </w:r>
    </w:p>
    <w:p w14:paraId="67824E48" w14:textId="77777777" w:rsidR="0057679C" w:rsidRDefault="0057679C" w:rsidP="0057679C">
      <w:pPr>
        <w:spacing w:after="0"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采用综合评分法，总分100分，其中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报价50分，资信部分10分，技术部分40分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评审</w:t>
      </w:r>
      <w:r w:rsidRPr="009D1C2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小组根据响应文件对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响应</w:t>
      </w:r>
      <w:r w:rsidRPr="009D1C2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进行独立记名打分。成交候选资格按综合得分由高到低顺序排列，得分相同的，按项目总报价由低到高顺序排列。推荐排名第一者为成交候选人，若成交候选人无法按采购文件约定履行信用评级服务，则由综合评分排名第</w:t>
      </w:r>
      <w:proofErr w:type="gramStart"/>
      <w:r w:rsidRPr="009D1C2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二者提供</w:t>
      </w:r>
      <w:proofErr w:type="gramEnd"/>
      <w:r w:rsidRPr="009D1C2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服务，以此类推，直至满足公司需求。除不可抗力等原因外，候选人成交后无故不按采购文件履约的，将排除该候选人（供应商）参与我公司后续采购项目三次。</w:t>
      </w:r>
    </w:p>
    <w:p w14:paraId="1C866E5B" w14:textId="33425199" w:rsidR="00D82AF8" w:rsidRPr="0057679C" w:rsidRDefault="00000000" w:rsidP="0057679C">
      <w:pPr>
        <w:spacing w:after="0"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8D6153">
        <w:rPr>
          <w:rFonts w:ascii="仿宋_GB2312" w:eastAsia="仿宋_GB2312" w:hAnsi="仿宋" w:cs="仿宋" w:hint="eastAsia"/>
          <w:sz w:val="32"/>
          <w:szCs w:val="32"/>
        </w:rPr>
        <w:t>如有意向，请于2024年</w:t>
      </w:r>
      <w:r w:rsidR="008D6153" w:rsidRPr="008D6153">
        <w:rPr>
          <w:rFonts w:ascii="仿宋_GB2312" w:eastAsia="仿宋_GB2312" w:hAnsi="仿宋" w:cs="仿宋" w:hint="eastAsia"/>
          <w:sz w:val="32"/>
          <w:szCs w:val="32"/>
        </w:rPr>
        <w:t>1</w:t>
      </w:r>
      <w:r w:rsidR="00F24B7E">
        <w:rPr>
          <w:rFonts w:ascii="仿宋_GB2312" w:eastAsia="仿宋_GB2312" w:hAnsi="仿宋" w:cs="仿宋" w:hint="eastAsia"/>
          <w:sz w:val="32"/>
          <w:szCs w:val="32"/>
        </w:rPr>
        <w:t>2</w:t>
      </w:r>
      <w:r w:rsidRPr="008D6153">
        <w:rPr>
          <w:rFonts w:ascii="仿宋_GB2312" w:eastAsia="仿宋_GB2312" w:hAnsi="仿宋" w:cs="仿宋" w:hint="eastAsia"/>
          <w:sz w:val="32"/>
          <w:szCs w:val="32"/>
        </w:rPr>
        <w:t>月</w:t>
      </w:r>
      <w:r w:rsidR="00F95444">
        <w:rPr>
          <w:rFonts w:ascii="仿宋_GB2312" w:eastAsia="仿宋_GB2312" w:hAnsi="仿宋" w:cs="仿宋" w:hint="eastAsia"/>
          <w:sz w:val="32"/>
          <w:szCs w:val="32"/>
        </w:rPr>
        <w:t>3</w:t>
      </w:r>
      <w:r w:rsidRPr="008D6153">
        <w:rPr>
          <w:rFonts w:ascii="仿宋_GB2312" w:eastAsia="仿宋_GB2312" w:hAnsi="仿宋" w:cs="仿宋" w:hint="eastAsia"/>
          <w:sz w:val="32"/>
          <w:szCs w:val="32"/>
        </w:rPr>
        <w:t>日</w:t>
      </w:r>
      <w:r w:rsidR="003B437C">
        <w:rPr>
          <w:rFonts w:ascii="仿宋_GB2312" w:eastAsia="仿宋_GB2312" w:hAnsi="仿宋" w:cs="仿宋" w:hint="eastAsia"/>
          <w:sz w:val="32"/>
          <w:szCs w:val="32"/>
        </w:rPr>
        <w:t>1</w:t>
      </w:r>
      <w:r w:rsidR="00F24B7E">
        <w:rPr>
          <w:rFonts w:ascii="仿宋_GB2312" w:eastAsia="仿宋_GB2312" w:hAnsi="仿宋" w:cs="仿宋" w:hint="eastAsia"/>
          <w:sz w:val="32"/>
          <w:szCs w:val="32"/>
        </w:rPr>
        <w:t>7</w:t>
      </w:r>
      <w:r w:rsidRPr="008D6153">
        <w:rPr>
          <w:rFonts w:ascii="仿宋_GB2312" w:eastAsia="仿宋_GB2312" w:hAnsi="仿宋" w:cs="仿宋" w:hint="eastAsia"/>
          <w:sz w:val="32"/>
          <w:szCs w:val="32"/>
        </w:rPr>
        <w:t>点（响应截止时间）前以扫描件（电子版）方式将响应文件（需盖公章）发送至luchenkaicoming@163.com（以邮件接收时间为准）。</w:t>
      </w:r>
    </w:p>
    <w:p w14:paraId="6C445B38" w14:textId="40588A24" w:rsidR="00D82AF8" w:rsidRDefault="00000000">
      <w:pPr>
        <w:spacing w:after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D6153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供应商对本比选文件有疑问的，请于2024年</w:t>
      </w:r>
      <w:r w:rsidR="00F95444">
        <w:rPr>
          <w:rFonts w:ascii="仿宋_GB2312" w:eastAsia="仿宋_GB2312" w:hAnsi="仿宋" w:cs="仿宋" w:hint="eastAsia"/>
          <w:sz w:val="32"/>
          <w:szCs w:val="32"/>
        </w:rPr>
        <w:t>12</w:t>
      </w:r>
      <w:r w:rsidRPr="008D6153">
        <w:rPr>
          <w:rFonts w:ascii="仿宋_GB2312" w:eastAsia="仿宋_GB2312" w:hAnsi="仿宋" w:cs="仿宋" w:hint="eastAsia"/>
          <w:sz w:val="32"/>
          <w:szCs w:val="32"/>
        </w:rPr>
        <w:t>月</w:t>
      </w:r>
      <w:r w:rsidR="00F95444">
        <w:rPr>
          <w:rFonts w:ascii="仿宋_GB2312" w:eastAsia="仿宋_GB2312" w:hAnsi="仿宋" w:cs="仿宋" w:hint="eastAsia"/>
          <w:sz w:val="32"/>
          <w:szCs w:val="32"/>
        </w:rPr>
        <w:t>1</w:t>
      </w:r>
      <w:r w:rsidRPr="008D6153">
        <w:rPr>
          <w:rFonts w:ascii="仿宋_GB2312" w:eastAsia="仿宋_GB2312" w:hAnsi="仿宋" w:cs="仿宋" w:hint="eastAsia"/>
          <w:sz w:val="32"/>
          <w:szCs w:val="32"/>
        </w:rPr>
        <w:t>日</w:t>
      </w:r>
      <w:r w:rsidR="008D6153" w:rsidRPr="008D6153">
        <w:rPr>
          <w:rFonts w:ascii="仿宋_GB2312" w:eastAsia="仿宋_GB2312" w:hAnsi="仿宋" w:cs="仿宋" w:hint="eastAsia"/>
          <w:sz w:val="32"/>
          <w:szCs w:val="32"/>
        </w:rPr>
        <w:t>17</w:t>
      </w:r>
      <w:r w:rsidRPr="008D6153">
        <w:rPr>
          <w:rFonts w:ascii="仿宋_GB2312" w:eastAsia="仿宋_GB2312" w:hAnsi="仿宋" w:cs="仿宋" w:hint="eastAsia"/>
          <w:sz w:val="32"/>
          <w:szCs w:val="32"/>
        </w:rPr>
        <w:t>点前，提交一份质疑文件电子文档（word版，须注明报价人名称）发邮件至下列邮箱luchenkaicoming@163.c</w:t>
      </w:r>
      <w:r>
        <w:rPr>
          <w:rFonts w:ascii="仿宋_GB2312" w:eastAsia="仿宋_GB2312" w:hAnsi="仿宋" w:cs="仿宋" w:hint="eastAsia"/>
          <w:sz w:val="32"/>
          <w:szCs w:val="32"/>
        </w:rPr>
        <w:t>om。</w:t>
      </w:r>
    </w:p>
    <w:p w14:paraId="156C5C19" w14:textId="77777777" w:rsidR="00D82AF8" w:rsidRDefault="00D82AF8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7915DC28" w14:textId="77777777" w:rsidR="00D82AF8" w:rsidRDefault="00000000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 xml:space="preserve">联系人：陆先生    联系电话：0571-86059503 </w:t>
      </w:r>
    </w:p>
    <w:p w14:paraId="56ABE9C2" w14:textId="77777777" w:rsidR="00D82AF8" w:rsidRDefault="00000000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邮箱：luchenkaicoming@163.com </w:t>
      </w:r>
    </w:p>
    <w:p w14:paraId="1C33A1CD" w14:textId="77777777" w:rsidR="00D82AF8" w:rsidRDefault="00000000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03D305A6" w14:textId="77777777" w:rsidR="00D82AF8" w:rsidRDefault="00000000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140E46CB" w14:textId="77777777" w:rsidR="00D82AF8" w:rsidRDefault="00D82AF8">
      <w:pPr>
        <w:pStyle w:val="TOC1"/>
      </w:pPr>
    </w:p>
    <w:p w14:paraId="02BE9E03" w14:textId="77777777" w:rsidR="00D82AF8" w:rsidRDefault="00000000">
      <w:pPr>
        <w:spacing w:after="0" w:line="560" w:lineRule="exact"/>
        <w:ind w:firstLineChars="400" w:firstLine="128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附件：1.评分细则</w:t>
      </w:r>
    </w:p>
    <w:p w14:paraId="65C07868" w14:textId="77777777" w:rsidR="00D82AF8" w:rsidRDefault="00000000">
      <w:pPr>
        <w:spacing w:after="0" w:line="560" w:lineRule="exact"/>
        <w:ind w:firstLineChars="700" w:firstLine="22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2.项目报价表</w:t>
      </w:r>
    </w:p>
    <w:p w14:paraId="23D82B24" w14:textId="77777777" w:rsidR="00D82AF8" w:rsidRDefault="00D82AF8">
      <w:pPr>
        <w:widowControl/>
        <w:spacing w:after="0"/>
        <w:ind w:firstLineChars="300" w:firstLine="720"/>
        <w:jc w:val="left"/>
        <w:rPr>
          <w:rFonts w:ascii="仿宋" w:eastAsia="仿宋" w:hAnsi="仿宋" w:cs="仿宋" w:hint="eastAsia"/>
          <w:bCs/>
          <w:sz w:val="24"/>
        </w:rPr>
      </w:pPr>
    </w:p>
    <w:p w14:paraId="3FE85F41" w14:textId="77777777" w:rsidR="008D6153" w:rsidRDefault="00000000" w:rsidP="0057679C">
      <w:pPr>
        <w:spacing w:after="0" w:line="500" w:lineRule="exact"/>
        <w:ind w:firstLineChars="1300" w:firstLine="416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钱江水利开发股份有限公司</w:t>
      </w:r>
    </w:p>
    <w:p w14:paraId="7486742F" w14:textId="15131780" w:rsidR="00D82AF8" w:rsidRDefault="00000000" w:rsidP="0057679C">
      <w:pPr>
        <w:spacing w:after="0" w:line="500" w:lineRule="exact"/>
        <w:ind w:firstLineChars="1300" w:firstLine="416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2024年</w:t>
      </w:r>
      <w:r w:rsidR="00F95444"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8D6153">
        <w:rPr>
          <w:rFonts w:ascii="仿宋_GB2312" w:eastAsia="仿宋_GB2312" w:hAnsi="仿宋" w:cs="仿宋" w:hint="eastAsia"/>
          <w:sz w:val="32"/>
          <w:szCs w:val="32"/>
        </w:rPr>
        <w:t>2</w:t>
      </w:r>
      <w:r w:rsidR="00F95444">
        <w:rPr>
          <w:rFonts w:ascii="仿宋_GB2312" w:eastAsia="仿宋_GB2312" w:hAnsi="仿宋" w:cs="仿宋" w:hint="eastAsia"/>
          <w:sz w:val="32"/>
          <w:szCs w:val="32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65241640" w14:textId="77777777" w:rsidR="00D82AF8" w:rsidRPr="00B2105B" w:rsidRDefault="00000000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B2105B">
        <w:rPr>
          <w:rFonts w:ascii="黑体" w:eastAsia="黑体" w:hAnsi="黑体" w:cs="Arial" w:hint="eastAsia"/>
          <w:sz w:val="28"/>
          <w:szCs w:val="28"/>
          <w:shd w:val="clear" w:color="auto" w:fill="FFFFFF"/>
        </w:rPr>
        <w:lastRenderedPageBreak/>
        <w:t>附件1：</w:t>
      </w:r>
    </w:p>
    <w:p w14:paraId="347673BC" w14:textId="77777777" w:rsidR="00D82AF8" w:rsidRPr="00B2105B" w:rsidRDefault="00000000">
      <w:pPr>
        <w:jc w:val="center"/>
        <w:rPr>
          <w:rFonts w:ascii="仿宋_GB2312" w:eastAsia="仿宋_GB2312" w:hAnsi="仿宋" w:cs="Arial" w:hint="eastAsia"/>
          <w:b/>
          <w:bCs/>
          <w:sz w:val="32"/>
          <w:szCs w:val="32"/>
          <w:shd w:val="clear" w:color="auto" w:fill="FFFFFF"/>
        </w:rPr>
      </w:pPr>
      <w:bookmarkStart w:id="0" w:name="_Hlk182853509"/>
      <w:r w:rsidRPr="00B2105B">
        <w:rPr>
          <w:rFonts w:ascii="仿宋_GB2312" w:eastAsia="仿宋_GB2312" w:hAnsi="仿宋" w:cs="Arial" w:hint="eastAsia"/>
          <w:b/>
          <w:bCs/>
          <w:sz w:val="32"/>
          <w:szCs w:val="32"/>
          <w:shd w:val="clear" w:color="auto" w:fill="FFFFFF"/>
        </w:rPr>
        <w:t>评分细则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9"/>
        <w:gridCol w:w="931"/>
        <w:gridCol w:w="1631"/>
        <w:gridCol w:w="4527"/>
        <w:gridCol w:w="863"/>
      </w:tblGrid>
      <w:tr w:rsidR="0057679C" w:rsidRPr="00C64D63" w14:paraId="11A07709" w14:textId="77777777" w:rsidTr="00642B81">
        <w:trPr>
          <w:trHeight w:val="5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14:paraId="42029F39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333C2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分类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58274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620D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评分细则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5241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:rsidR="0057679C" w:rsidRPr="00C64D63" w14:paraId="04E241EF" w14:textId="77777777" w:rsidTr="00642B81">
        <w:trPr>
          <w:trHeight w:val="154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34BA4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9B556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商务</w:t>
            </w:r>
          </w:p>
          <w:p w14:paraId="612E6727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部分</w:t>
            </w:r>
          </w:p>
        </w:tc>
        <w:tc>
          <w:tcPr>
            <w:tcW w:w="9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824E0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报价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79D2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以全部有效投标人的报价算数平均值为评标基准价，</w:t>
            </w:r>
            <w:proofErr w:type="gramStart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当有效</w:t>
            </w:r>
            <w:proofErr w:type="gramEnd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投标报价等于评标基准价时得满分50分；有效投标报价与评标基准价相比，每上偏1%扣1分（计算公式：（40-（投标人报价－评标基准价）/评标基准价*100*1），每下偏1%扣0.5分（计算公式：（40-（评标基准价－投标人报价）/评标基准价*100*0.5）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D3BF8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:rsidR="0057679C" w:rsidRPr="00C64D63" w14:paraId="25106FAC" w14:textId="77777777" w:rsidTr="00642B81">
        <w:trPr>
          <w:trHeight w:val="3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82112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DE9B909" w14:textId="77777777" w:rsidR="0057679C" w:rsidRPr="00C64D63" w:rsidRDefault="0057679C" w:rsidP="0057679C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资信</w:t>
            </w:r>
          </w:p>
          <w:p w14:paraId="5A6C4DBC" w14:textId="77777777" w:rsidR="0057679C" w:rsidRPr="00C64D63" w:rsidRDefault="0057679C" w:rsidP="0057679C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部分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EF95F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5D58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2020年1月1日至2023年9月30日，投标人及服务团队具有沪深上市公司ESG报告编制、管理咨询、传播推广经验，每个得1分，最高不超过6分；</w:t>
            </w:r>
            <w:proofErr w:type="gramStart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若服务</w:t>
            </w:r>
            <w:proofErr w:type="gramEnd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企业同属水的生产和供应业（国民经济行业分类/证监会行业分类：D-46），每个可再加2分，最高不超过4分。</w:t>
            </w:r>
            <w:r w:rsidRPr="00C64D63">
              <w:rPr>
                <w:rStyle w:val="font11"/>
                <w:rFonts w:ascii="仿宋_GB2312" w:eastAsia="仿宋_GB2312" w:hAnsi="仿宋_GB2312" w:cs="仿宋_GB2312" w:hint="default"/>
                <w:sz w:val="24"/>
                <w:szCs w:val="24"/>
                <w:lang w:bidi="ar"/>
              </w:rPr>
              <w:t>（需提供相关证明材料作为评审依据，未提供不得分）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6DCC6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57679C" w:rsidRPr="00C64D63" w14:paraId="5C9CA6E2" w14:textId="77777777" w:rsidTr="00642B81">
        <w:trPr>
          <w:trHeight w:val="9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E7DD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F03BC9D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  <w:p w14:paraId="0D6796C7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部分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FFC33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服务方案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1B4D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工作方案内容全面、重点突出、涵盖项目标书要求，实施方案及步骤具体、可行、有效。对提供的技术方案的体系建设思路、针对性、可操作性和内容完善完备性，等情况进行横向对比。</w:t>
            </w:r>
          </w:p>
          <w:p w14:paraId="06632C99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优秀（7-10分）：ESG体系建设思路非常清晰，对项目实际情况提出非常具有针对性意见和建议，对项目具体情况分析后可操作性非常强，对项目内容描述非常完备。</w:t>
            </w:r>
          </w:p>
          <w:p w14:paraId="25B291F8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良好（4-6分）：ESG体系建设思路比较清晰，对项目实际情况提出较有针对性意见和建议，对项目具体情况分析后可操作性较强，对项目内容</w:t>
            </w:r>
            <w:proofErr w:type="gramStart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描述较</w:t>
            </w:r>
            <w:proofErr w:type="gramEnd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完备。</w:t>
            </w:r>
          </w:p>
          <w:p w14:paraId="4E96AD43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一般（0-3分）：ESG体系建设思路一般清晰，对项目实际情况提出一般针对性意见和建议，对项目具体情况分析后可操作性一般，对项目内容</w:t>
            </w:r>
            <w:proofErr w:type="gramStart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描述较</w:t>
            </w:r>
            <w:proofErr w:type="gramEnd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1B8D6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</w:tr>
      <w:tr w:rsidR="0057679C" w:rsidRPr="00C64D63" w14:paraId="4CF9DEDA" w14:textId="77777777" w:rsidTr="00642B81">
        <w:trPr>
          <w:trHeight w:val="10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0E56" w14:textId="77777777" w:rsidR="0057679C" w:rsidRPr="00C64D63" w:rsidRDefault="0057679C" w:rsidP="0057679C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54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321B1BD" w14:textId="77777777" w:rsidR="0057679C" w:rsidRPr="00C64D63" w:rsidRDefault="0057679C" w:rsidP="0057679C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C77DA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项目理解、过程安排及承诺保障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C385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能够综合行业特征、公司情况、监管要求等因素，对项目工作内容、重点、目标进行分析</w:t>
            </w:r>
            <w:proofErr w:type="gramStart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判，对进度计划安排和关键节点的控制措施具备合理性和可行性，对服务质量及责任承诺清晰。</w:t>
            </w:r>
          </w:p>
          <w:p w14:paraId="2F1F94E4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优秀（12-15分）：对项目内容、重点、目标分析清晰、理解到位；服务措施合理可行，项目进度计划安排的内容完整且清晰，标准高，承诺明确且合理。</w:t>
            </w:r>
          </w:p>
          <w:p w14:paraId="699FC4EB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良好（7-11分）：对本项目的工作内容、目标、要求等理解比较到位，解决措施基本合理可行；项目进度计划安排的内容比较完整且清晰，标准较高，承诺比较明确且合理。</w:t>
            </w:r>
          </w:p>
          <w:p w14:paraId="31526043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一般（3-6分）：对本项目的工作内容、目标、要求等理解不够到位，解决措施不够科学；项目进度计划安排的内容不够完整清晰，标准一般，承诺模糊且不合理。</w:t>
            </w:r>
          </w:p>
          <w:p w14:paraId="4043AB9A" w14:textId="77777777" w:rsidR="0057679C" w:rsidRPr="00C64D63" w:rsidRDefault="0057679C" w:rsidP="0057679C">
            <w:pPr>
              <w:widowControl/>
              <w:spacing w:after="0"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差（0-2分）：对项目理解不到位、项目进度计划安排的内容严重缺失，标准低，无承诺。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B14CC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57679C" w:rsidRPr="00C64D63" w14:paraId="5D8DCA92" w14:textId="77777777" w:rsidTr="00642B81">
        <w:trPr>
          <w:trHeight w:val="10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73E11" w14:textId="77777777" w:rsidR="0057679C" w:rsidRPr="00C64D63" w:rsidRDefault="0057679C" w:rsidP="0057679C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545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44E918" w14:textId="77777777" w:rsidR="0057679C" w:rsidRPr="00C64D63" w:rsidRDefault="0057679C" w:rsidP="0057679C">
            <w:pPr>
              <w:spacing w:after="0"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F0C2B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优惠条款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AE47" w14:textId="77777777" w:rsidR="0057679C" w:rsidRPr="00C64D63" w:rsidRDefault="0057679C" w:rsidP="0057679C">
            <w:pPr>
              <w:widowControl/>
              <w:spacing w:after="0" w:line="400" w:lineRule="exac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横向比较各投标人增值服务费用赠送数量，评价服务优惠程度，优秀得11~15分，良好得8~10分，一般得3~7分，没有增值服务得0分。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BFC5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57679C" w:rsidRPr="00C64D63" w14:paraId="6D096DBB" w14:textId="77777777" w:rsidTr="00642B81">
        <w:trPr>
          <w:trHeight w:val="330"/>
        </w:trPr>
        <w:tc>
          <w:tcPr>
            <w:tcW w:w="4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1335C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合计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C0E9C" w14:textId="77777777" w:rsidR="0057679C" w:rsidRPr="00C64D63" w:rsidRDefault="0057679C" w:rsidP="0057679C">
            <w:pPr>
              <w:widowControl/>
              <w:spacing w:after="0"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C64D6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</w:tr>
    </w:tbl>
    <w:p w14:paraId="43AA3E9E" w14:textId="77777777" w:rsidR="00D82AF8" w:rsidRPr="00B2105B" w:rsidRDefault="00D82AF8">
      <w:pPr>
        <w:widowControl/>
        <w:jc w:val="left"/>
        <w:rPr>
          <w:rFonts w:asciiTheme="minorEastAsia" w:eastAsiaTheme="minorEastAsia" w:hAnsiTheme="minorEastAsia" w:hint="eastAsia"/>
          <w:sz w:val="36"/>
          <w:szCs w:val="36"/>
        </w:rPr>
      </w:pPr>
    </w:p>
    <w:p w14:paraId="7530FCE6" w14:textId="77777777" w:rsidR="00D82AF8" w:rsidRPr="00B2105B" w:rsidRDefault="00D82AF8">
      <w:pPr>
        <w:widowControl/>
        <w:jc w:val="left"/>
        <w:rPr>
          <w:rFonts w:asciiTheme="minorEastAsia" w:eastAsiaTheme="minorEastAsia" w:hAnsiTheme="minorEastAsia" w:hint="eastAsia"/>
          <w:sz w:val="36"/>
          <w:szCs w:val="36"/>
        </w:rPr>
      </w:pPr>
    </w:p>
    <w:p w14:paraId="73630B06" w14:textId="77777777" w:rsidR="00D82AF8" w:rsidRPr="00B2105B" w:rsidRDefault="00D82AF8">
      <w:pPr>
        <w:pStyle w:val="TOC1"/>
      </w:pPr>
    </w:p>
    <w:p w14:paraId="39AACE9B" w14:textId="77777777" w:rsidR="00D82AF8" w:rsidRPr="00B2105B" w:rsidRDefault="00D82AF8"/>
    <w:p w14:paraId="68C4D9A9" w14:textId="77777777" w:rsidR="00D82AF8" w:rsidRPr="00B2105B" w:rsidRDefault="00D82AF8">
      <w:pPr>
        <w:pStyle w:val="TOC1"/>
      </w:pPr>
    </w:p>
    <w:p w14:paraId="62DF21ED" w14:textId="77777777" w:rsidR="00D82AF8" w:rsidRPr="00B2105B" w:rsidRDefault="00D82AF8"/>
    <w:p w14:paraId="252572C4" w14:textId="77777777" w:rsidR="00D82AF8" w:rsidRPr="00B2105B" w:rsidRDefault="00D82AF8">
      <w:pPr>
        <w:pStyle w:val="TOC1"/>
      </w:pPr>
    </w:p>
    <w:p w14:paraId="28B091BC" w14:textId="77777777" w:rsidR="00D82AF8" w:rsidRPr="00B2105B" w:rsidRDefault="00D82AF8"/>
    <w:p w14:paraId="18D3AC8C" w14:textId="77777777" w:rsidR="00D82AF8" w:rsidRPr="00B2105B" w:rsidRDefault="00D82AF8">
      <w:pPr>
        <w:pStyle w:val="TOC1"/>
      </w:pPr>
    </w:p>
    <w:p w14:paraId="0B8F22C5" w14:textId="77777777" w:rsidR="00D82AF8" w:rsidRPr="00B2105B" w:rsidRDefault="00D82AF8"/>
    <w:p w14:paraId="0D35A3FB" w14:textId="77777777" w:rsidR="00D82AF8" w:rsidRPr="00B2105B" w:rsidRDefault="00D82AF8">
      <w:pPr>
        <w:pStyle w:val="TOC1"/>
      </w:pPr>
    </w:p>
    <w:p w14:paraId="5DE08170" w14:textId="77777777" w:rsidR="005E1783" w:rsidRPr="00B2105B" w:rsidRDefault="005E1783" w:rsidP="005E1783"/>
    <w:p w14:paraId="08D29ACE" w14:textId="77777777" w:rsidR="005E1783" w:rsidRPr="00B2105B" w:rsidRDefault="005E1783" w:rsidP="005E1783">
      <w:pPr>
        <w:pStyle w:val="TOC1"/>
      </w:pPr>
    </w:p>
    <w:p w14:paraId="128980A5" w14:textId="77777777" w:rsidR="005E1783" w:rsidRPr="00B2105B" w:rsidRDefault="005E1783" w:rsidP="005E1783"/>
    <w:p w14:paraId="4018E912" w14:textId="77777777" w:rsidR="005E1783" w:rsidRPr="00B2105B" w:rsidRDefault="005E1783" w:rsidP="005E1783">
      <w:pPr>
        <w:pStyle w:val="TOC1"/>
      </w:pPr>
    </w:p>
    <w:p w14:paraId="16B23B0C" w14:textId="2BB27BB2" w:rsidR="00714EE8" w:rsidRDefault="00714EE8">
      <w:pPr>
        <w:widowControl/>
        <w:spacing w:after="0" w:line="240" w:lineRule="auto"/>
        <w:jc w:val="left"/>
      </w:pPr>
      <w:r>
        <w:br w:type="page"/>
      </w:r>
    </w:p>
    <w:p w14:paraId="794021A5" w14:textId="77777777" w:rsidR="005E1783" w:rsidRPr="00B2105B" w:rsidRDefault="005E1783" w:rsidP="005E1783"/>
    <w:p w14:paraId="4E8FF73A" w14:textId="77777777" w:rsidR="00D82AF8" w:rsidRPr="00B2105B" w:rsidRDefault="00000000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B2105B">
        <w:rPr>
          <w:rFonts w:ascii="黑体" w:eastAsia="黑体" w:hAnsi="黑体" w:cs="Arial" w:hint="eastAsia"/>
          <w:sz w:val="28"/>
          <w:szCs w:val="28"/>
          <w:shd w:val="clear" w:color="auto" w:fill="FFFFFF"/>
        </w:rPr>
        <w:t>附件2：</w:t>
      </w:r>
    </w:p>
    <w:p w14:paraId="040C4AEF" w14:textId="77777777" w:rsidR="00D82AF8" w:rsidRPr="00B2105B" w:rsidRDefault="00000000">
      <w:pPr>
        <w:widowControl/>
        <w:ind w:firstLineChars="600" w:firstLine="2160"/>
        <w:jc w:val="left"/>
        <w:rPr>
          <w:rFonts w:ascii="方正小标宋简体" w:eastAsia="方正小标宋简体" w:hAnsi="仿宋" w:cs="仿宋" w:hint="eastAsia"/>
          <w:sz w:val="36"/>
          <w:szCs w:val="36"/>
        </w:rPr>
      </w:pPr>
      <w:r w:rsidRPr="00B2105B">
        <w:rPr>
          <w:rFonts w:ascii="方正小标宋简体" w:eastAsia="方正小标宋简体" w:hAnsi="仿宋" w:cs="仿宋" w:hint="eastAsia"/>
          <w:sz w:val="36"/>
          <w:szCs w:val="36"/>
        </w:rPr>
        <w:t>钱江水利开发股份有限公司</w:t>
      </w:r>
    </w:p>
    <w:tbl>
      <w:tblPr>
        <w:tblStyle w:val="ad"/>
        <w:tblpPr w:leftFromText="180" w:rightFromText="180" w:vertAnchor="text" w:horzAnchor="margin" w:tblpXSpec="center" w:tblpY="1126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5103"/>
        <w:gridCol w:w="2409"/>
      </w:tblGrid>
      <w:tr w:rsidR="0057679C" w:rsidRPr="00B2105B" w14:paraId="631F125D" w14:textId="77777777" w:rsidTr="00120081">
        <w:trPr>
          <w:trHeight w:val="1059"/>
        </w:trPr>
        <w:tc>
          <w:tcPr>
            <w:tcW w:w="2122" w:type="dxa"/>
            <w:vAlign w:val="center"/>
          </w:tcPr>
          <w:p w14:paraId="66A364A6" w14:textId="7E802FCE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响应单位名称</w:t>
            </w:r>
          </w:p>
        </w:tc>
        <w:tc>
          <w:tcPr>
            <w:tcW w:w="5103" w:type="dxa"/>
            <w:vAlign w:val="center"/>
          </w:tcPr>
          <w:p w14:paraId="40314C72" w14:textId="2F656CFD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E4E7659" w14:textId="08DE503F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备注</w:t>
            </w:r>
          </w:p>
        </w:tc>
      </w:tr>
      <w:tr w:rsidR="0057679C" w:rsidRPr="00B2105B" w14:paraId="0C930879" w14:textId="77777777" w:rsidTr="00120081">
        <w:trPr>
          <w:trHeight w:val="644"/>
        </w:trPr>
        <w:tc>
          <w:tcPr>
            <w:tcW w:w="2122" w:type="dxa"/>
            <w:vAlign w:val="center"/>
          </w:tcPr>
          <w:p w14:paraId="3A10786A" w14:textId="29080D6E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报价（万元）</w:t>
            </w:r>
          </w:p>
        </w:tc>
        <w:tc>
          <w:tcPr>
            <w:tcW w:w="5103" w:type="dxa"/>
            <w:vAlign w:val="center"/>
          </w:tcPr>
          <w:p w14:paraId="13CB0694" w14:textId="77777777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EC81323" w14:textId="1EBF0EAA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提供报价清单。</w:t>
            </w:r>
          </w:p>
        </w:tc>
      </w:tr>
      <w:tr w:rsidR="0057679C" w:rsidRPr="00B2105B" w14:paraId="22CA7885" w14:textId="77777777" w:rsidTr="00120081">
        <w:trPr>
          <w:trHeight w:val="644"/>
        </w:trPr>
        <w:tc>
          <w:tcPr>
            <w:tcW w:w="2122" w:type="dxa"/>
            <w:vAlign w:val="center"/>
          </w:tcPr>
          <w:p w14:paraId="663E524D" w14:textId="72219962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资信</w:t>
            </w:r>
          </w:p>
        </w:tc>
        <w:tc>
          <w:tcPr>
            <w:tcW w:w="5103" w:type="dxa"/>
            <w:vAlign w:val="center"/>
          </w:tcPr>
          <w:p w14:paraId="60FC5ACB" w14:textId="77777777" w:rsidR="00120081" w:rsidRPr="00120081" w:rsidRDefault="0057679C" w:rsidP="00120081">
            <w:pPr>
              <w:spacing w:after="0" w:line="4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简述业绩项目：</w:t>
            </w:r>
          </w:p>
          <w:p w14:paraId="01BC3B03" w14:textId="77777777" w:rsidR="0057679C" w:rsidRDefault="0057679C" w:rsidP="00120081">
            <w:pPr>
              <w:spacing w:after="0" w:line="4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1.###；</w:t>
            </w:r>
          </w:p>
          <w:p w14:paraId="24A82983" w14:textId="77777777" w:rsidR="00120081" w:rsidRDefault="00120081" w:rsidP="00120081">
            <w:pPr>
              <w:spacing w:after="0" w:line="4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2.###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;</w:t>
            </w:r>
          </w:p>
          <w:p w14:paraId="1CE3AC63" w14:textId="77777777" w:rsidR="00120081" w:rsidRDefault="00120081" w:rsidP="00120081">
            <w:pPr>
              <w:spacing w:after="0" w:line="400" w:lineRule="exact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3.###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。</w:t>
            </w:r>
          </w:p>
          <w:p w14:paraId="53819111" w14:textId="6EA96539" w:rsidR="00120081" w:rsidRPr="00120081" w:rsidRDefault="00120081" w:rsidP="00120081">
            <w:pPr>
              <w:pStyle w:val="TOC1"/>
              <w:spacing w:after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/>
                <w:sz w:val="28"/>
                <w:szCs w:val="28"/>
              </w:rPr>
              <w:t>……</w:t>
            </w:r>
          </w:p>
        </w:tc>
        <w:tc>
          <w:tcPr>
            <w:tcW w:w="2409" w:type="dxa"/>
            <w:vAlign w:val="center"/>
          </w:tcPr>
          <w:p w14:paraId="2CA721DA" w14:textId="26F4FC14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提供业绩资料</w:t>
            </w:r>
          </w:p>
        </w:tc>
      </w:tr>
      <w:tr w:rsidR="0057679C" w:rsidRPr="00B2105B" w14:paraId="5712B5F4" w14:textId="77777777" w:rsidTr="00120081">
        <w:trPr>
          <w:trHeight w:val="644"/>
        </w:trPr>
        <w:tc>
          <w:tcPr>
            <w:tcW w:w="2122" w:type="dxa"/>
            <w:vAlign w:val="center"/>
          </w:tcPr>
          <w:p w14:paraId="6B66D5E8" w14:textId="16DF438F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技术</w:t>
            </w:r>
          </w:p>
        </w:tc>
        <w:tc>
          <w:tcPr>
            <w:tcW w:w="5103" w:type="dxa"/>
            <w:vAlign w:val="center"/>
          </w:tcPr>
          <w:p w14:paraId="549CA25C" w14:textId="2D84E1AA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/</w:t>
            </w:r>
          </w:p>
        </w:tc>
        <w:tc>
          <w:tcPr>
            <w:tcW w:w="2409" w:type="dxa"/>
            <w:vAlign w:val="center"/>
          </w:tcPr>
          <w:p w14:paraId="180D7373" w14:textId="6FA9D8CA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提供技术方案</w:t>
            </w:r>
          </w:p>
        </w:tc>
      </w:tr>
      <w:tr w:rsidR="0057679C" w:rsidRPr="00B2105B" w14:paraId="500942DF" w14:textId="77777777" w:rsidTr="00120081">
        <w:trPr>
          <w:trHeight w:val="644"/>
        </w:trPr>
        <w:tc>
          <w:tcPr>
            <w:tcW w:w="2122" w:type="dxa"/>
            <w:vAlign w:val="center"/>
          </w:tcPr>
          <w:p w14:paraId="21F87C1F" w14:textId="3901B64A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优惠条款</w:t>
            </w:r>
          </w:p>
        </w:tc>
        <w:tc>
          <w:tcPr>
            <w:tcW w:w="5103" w:type="dxa"/>
            <w:vAlign w:val="center"/>
          </w:tcPr>
          <w:p w14:paraId="02FAD00D" w14:textId="15BBA7D5" w:rsidR="0057679C" w:rsidRPr="00120081" w:rsidRDefault="0057679C" w:rsidP="00120081">
            <w:pPr>
              <w:spacing w:after="0" w:line="40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sz w:val="28"/>
                <w:szCs w:val="28"/>
              </w:rPr>
              <w:t>简述优惠条款。</w:t>
            </w:r>
          </w:p>
        </w:tc>
        <w:tc>
          <w:tcPr>
            <w:tcW w:w="2409" w:type="dxa"/>
            <w:vAlign w:val="center"/>
          </w:tcPr>
          <w:p w14:paraId="6B0C403D" w14:textId="7A160D9A" w:rsidR="0057679C" w:rsidRPr="00120081" w:rsidRDefault="0057679C" w:rsidP="00120081">
            <w:pPr>
              <w:spacing w:after="0"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2008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技术方案有所体现</w:t>
            </w:r>
          </w:p>
        </w:tc>
      </w:tr>
    </w:tbl>
    <w:p w14:paraId="7FB8CD04" w14:textId="2A2DF735" w:rsidR="00D82AF8" w:rsidRPr="00B2105B" w:rsidRDefault="0057679C" w:rsidP="0057679C">
      <w:pPr>
        <w:widowControl/>
        <w:ind w:firstLineChars="800" w:firstLine="2880"/>
        <w:rPr>
          <w:rFonts w:ascii="方正小标宋简体" w:eastAsia="方正小标宋简体" w:hAnsi="仿宋" w:cs="仿宋" w:hint="eastAsia"/>
          <w:sz w:val="36"/>
          <w:szCs w:val="36"/>
        </w:rPr>
      </w:pPr>
      <w:r w:rsidRPr="0057679C">
        <w:rPr>
          <w:rFonts w:ascii="方正小标宋简体" w:eastAsia="方正小标宋简体" w:hAnsi="仿宋" w:cs="仿宋" w:hint="eastAsia"/>
          <w:sz w:val="36"/>
          <w:szCs w:val="36"/>
        </w:rPr>
        <w:t>ESG服务项目</w:t>
      </w:r>
      <w:r w:rsidRPr="00B2105B">
        <w:rPr>
          <w:rFonts w:ascii="方正小标宋简体" w:eastAsia="方正小标宋简体" w:hAnsi="仿宋" w:cs="仿宋" w:hint="eastAsia"/>
          <w:sz w:val="36"/>
          <w:szCs w:val="36"/>
        </w:rPr>
        <w:t>报价表</w:t>
      </w:r>
    </w:p>
    <w:p w14:paraId="2D4B90C3" w14:textId="77777777" w:rsidR="00D82AF8" w:rsidRPr="00B2105B" w:rsidRDefault="00D82AF8" w:rsidP="00120081">
      <w:pPr>
        <w:snapToGrid w:val="0"/>
        <w:spacing w:line="312" w:lineRule="auto"/>
        <w:ind w:right="1120"/>
        <w:rPr>
          <w:rFonts w:ascii="仿宋_GB2312" w:eastAsia="仿宋_GB2312" w:hAnsi="仿宋" w:cs="仿宋" w:hint="eastAsia"/>
          <w:sz w:val="32"/>
          <w:szCs w:val="32"/>
        </w:rPr>
      </w:pPr>
    </w:p>
    <w:p w14:paraId="46FD4FB9" w14:textId="77777777" w:rsidR="00D82AF8" w:rsidRPr="00B2105B" w:rsidRDefault="00000000">
      <w:pPr>
        <w:snapToGrid w:val="0"/>
        <w:spacing w:line="312" w:lineRule="auto"/>
        <w:ind w:right="1120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B2105B">
        <w:rPr>
          <w:rFonts w:ascii="仿宋_GB2312" w:eastAsia="仿宋_GB2312" w:hAnsi="仿宋" w:cs="仿宋" w:hint="eastAsia"/>
          <w:sz w:val="32"/>
          <w:szCs w:val="32"/>
        </w:rPr>
        <w:t>响应</w:t>
      </w:r>
      <w:r w:rsidRPr="00B2105B">
        <w:rPr>
          <w:rFonts w:ascii="仿宋_GB2312" w:eastAsia="仿宋_GB2312" w:hAnsi="仿宋" w:cs="仿宋" w:hint="eastAsia"/>
          <w:sz w:val="28"/>
          <w:szCs w:val="28"/>
        </w:rPr>
        <w:t>人名称(盖章)：</w:t>
      </w:r>
    </w:p>
    <w:p w14:paraId="7EE83F99" w14:textId="77777777" w:rsidR="00D82AF8" w:rsidRPr="00B2105B" w:rsidRDefault="00000000">
      <w:pPr>
        <w:snapToGrid w:val="0"/>
        <w:spacing w:line="312" w:lineRule="auto"/>
        <w:ind w:right="1120"/>
        <w:jc w:val="center"/>
        <w:rPr>
          <w:rFonts w:ascii="仿宋_GB2312" w:eastAsia="仿宋_GB2312" w:hAnsi="仿宋" w:cs="仿宋" w:hint="eastAsia"/>
          <w:sz w:val="28"/>
          <w:szCs w:val="28"/>
        </w:rPr>
      </w:pPr>
      <w:r w:rsidRPr="00B2105B">
        <w:rPr>
          <w:rFonts w:ascii="仿宋_GB2312" w:eastAsia="仿宋_GB2312" w:hAnsi="仿宋" w:cs="仿宋" w:hint="eastAsia"/>
          <w:sz w:val="28"/>
          <w:szCs w:val="28"/>
        </w:rPr>
        <w:t xml:space="preserve">                           </w:t>
      </w:r>
    </w:p>
    <w:p w14:paraId="2EDCD728" w14:textId="77777777" w:rsidR="00D82AF8" w:rsidRPr="00B2105B" w:rsidRDefault="00000000" w:rsidP="005E1783">
      <w:pPr>
        <w:tabs>
          <w:tab w:val="left" w:pos="8312"/>
        </w:tabs>
        <w:snapToGrid w:val="0"/>
        <w:spacing w:line="300" w:lineRule="auto"/>
        <w:ind w:right="-52" w:firstLineChars="1700" w:firstLine="4760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B2105B">
        <w:rPr>
          <w:rFonts w:ascii="仿宋_GB2312" w:eastAsia="仿宋_GB2312" w:hAnsi="仿宋" w:cs="仿宋" w:hint="eastAsia"/>
          <w:sz w:val="28"/>
          <w:szCs w:val="28"/>
        </w:rPr>
        <w:t>年   月   日</w:t>
      </w:r>
    </w:p>
    <w:p w14:paraId="6936D5B2" w14:textId="2A1A9637" w:rsidR="00D82AF8" w:rsidRPr="00B2105B" w:rsidRDefault="00120081" w:rsidP="00120081">
      <w:pPr>
        <w:spacing w:after="0" w:line="560" w:lineRule="exact"/>
        <w:rPr>
          <w:rFonts w:ascii="仿宋_GB2312" w:eastAsia="仿宋_GB2312" w:hAnsi="仿宋" w:cs="仿宋" w:hint="eastAsia"/>
          <w:szCs w:val="21"/>
        </w:rPr>
      </w:pPr>
      <w:r>
        <w:rPr>
          <w:rFonts w:ascii="仿宋_GB2312" w:eastAsia="仿宋_GB2312" w:hAnsi="仿宋" w:cs="仿宋" w:hint="eastAsia"/>
          <w:szCs w:val="21"/>
        </w:rPr>
        <w:t>响应文件</w:t>
      </w:r>
      <w:r w:rsidRPr="00B2105B">
        <w:rPr>
          <w:rFonts w:ascii="仿宋_GB2312" w:eastAsia="仿宋_GB2312" w:hAnsi="仿宋" w:cs="仿宋" w:hint="eastAsia"/>
          <w:szCs w:val="21"/>
        </w:rPr>
        <w:t>要求：</w:t>
      </w:r>
    </w:p>
    <w:p w14:paraId="77B10865" w14:textId="34982B14" w:rsidR="00D82AF8" w:rsidRPr="00B2105B" w:rsidRDefault="00000000" w:rsidP="00120081">
      <w:pPr>
        <w:spacing w:after="0" w:line="560" w:lineRule="exact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B2105B">
        <w:rPr>
          <w:rFonts w:ascii="仿宋_GB2312" w:eastAsia="仿宋_GB2312" w:hAnsi="仿宋" w:cs="仿宋" w:hint="eastAsia"/>
          <w:szCs w:val="21"/>
        </w:rPr>
        <w:t>1.文件递交包括投标报价表、服务方案及资质证明文件，资料均需加盖公章;</w:t>
      </w:r>
    </w:p>
    <w:p w14:paraId="5D9BF8C2" w14:textId="77777777" w:rsidR="00D82AF8" w:rsidRPr="00B2105B" w:rsidRDefault="00000000" w:rsidP="00120081">
      <w:pPr>
        <w:spacing w:after="0" w:line="560" w:lineRule="exact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B2105B">
        <w:rPr>
          <w:rFonts w:ascii="仿宋_GB2312" w:eastAsia="仿宋_GB2312" w:hAnsi="仿宋" w:cs="仿宋" w:hint="eastAsia"/>
          <w:szCs w:val="21"/>
        </w:rPr>
        <w:t>2.本次响应在符合采购需求、质量和服务相等的前提下，采用综合评分法选定成交供应商；</w:t>
      </w:r>
    </w:p>
    <w:p w14:paraId="43A3243C" w14:textId="77777777" w:rsidR="00D82AF8" w:rsidRPr="00B2105B" w:rsidRDefault="00000000" w:rsidP="00120081">
      <w:pPr>
        <w:spacing w:after="0" w:line="560" w:lineRule="exact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B2105B">
        <w:rPr>
          <w:rFonts w:ascii="仿宋_GB2312" w:eastAsia="仿宋_GB2312" w:hAnsi="仿宋" w:cs="仿宋" w:hint="eastAsia"/>
          <w:szCs w:val="21"/>
        </w:rPr>
        <w:t>3.成交结果的通知：采购人将以电子邮件形式通知被投标方投标结果。</w:t>
      </w:r>
    </w:p>
    <w:sectPr w:rsidR="00D82AF8" w:rsidRPr="00B2105B">
      <w:headerReference w:type="default" r:id="rId6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87F9" w14:textId="77777777" w:rsidR="00033715" w:rsidRDefault="00033715">
      <w:pPr>
        <w:spacing w:line="240" w:lineRule="auto"/>
      </w:pPr>
      <w:r>
        <w:separator/>
      </w:r>
    </w:p>
  </w:endnote>
  <w:endnote w:type="continuationSeparator" w:id="0">
    <w:p w14:paraId="68D1A0DE" w14:textId="77777777" w:rsidR="00033715" w:rsidRDefault="00033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2FC39" w14:textId="77777777" w:rsidR="00033715" w:rsidRDefault="00033715">
      <w:pPr>
        <w:spacing w:after="0"/>
      </w:pPr>
      <w:r>
        <w:separator/>
      </w:r>
    </w:p>
  </w:footnote>
  <w:footnote w:type="continuationSeparator" w:id="0">
    <w:p w14:paraId="457C9927" w14:textId="77777777" w:rsidR="00033715" w:rsidRDefault="000337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0FAE" w14:textId="77777777" w:rsidR="00D82AF8" w:rsidRDefault="00D82AF8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yYjk5ZGRkZWUwYzNjYTNhNjhhNzg4MDA5NmM4ZWEifQ=="/>
  </w:docVars>
  <w:rsids>
    <w:rsidRoot w:val="00062320"/>
    <w:rsid w:val="00003F0D"/>
    <w:rsid w:val="00015067"/>
    <w:rsid w:val="0002388E"/>
    <w:rsid w:val="00033715"/>
    <w:rsid w:val="00062320"/>
    <w:rsid w:val="000736EB"/>
    <w:rsid w:val="000A38B4"/>
    <w:rsid w:val="000C0819"/>
    <w:rsid w:val="000F3433"/>
    <w:rsid w:val="000F5C9E"/>
    <w:rsid w:val="000F7FBA"/>
    <w:rsid w:val="00106C8E"/>
    <w:rsid w:val="00120081"/>
    <w:rsid w:val="0012497F"/>
    <w:rsid w:val="0012638A"/>
    <w:rsid w:val="00151794"/>
    <w:rsid w:val="001616B4"/>
    <w:rsid w:val="00195D42"/>
    <w:rsid w:val="001A0922"/>
    <w:rsid w:val="001A2636"/>
    <w:rsid w:val="001A3683"/>
    <w:rsid w:val="001B1139"/>
    <w:rsid w:val="001E69F1"/>
    <w:rsid w:val="001F55F4"/>
    <w:rsid w:val="00214529"/>
    <w:rsid w:val="002237C4"/>
    <w:rsid w:val="00232E99"/>
    <w:rsid w:val="00233B39"/>
    <w:rsid w:val="002406AB"/>
    <w:rsid w:val="00257DE5"/>
    <w:rsid w:val="00266D9B"/>
    <w:rsid w:val="00283037"/>
    <w:rsid w:val="00292A11"/>
    <w:rsid w:val="002C73EF"/>
    <w:rsid w:val="002D1FAA"/>
    <w:rsid w:val="002F2DC2"/>
    <w:rsid w:val="00321E3E"/>
    <w:rsid w:val="00323BE9"/>
    <w:rsid w:val="00345AC7"/>
    <w:rsid w:val="00353489"/>
    <w:rsid w:val="003664BB"/>
    <w:rsid w:val="0038023A"/>
    <w:rsid w:val="003973A3"/>
    <w:rsid w:val="003A0A7D"/>
    <w:rsid w:val="003A1F58"/>
    <w:rsid w:val="003B437C"/>
    <w:rsid w:val="003B717E"/>
    <w:rsid w:val="003D445F"/>
    <w:rsid w:val="003E3C29"/>
    <w:rsid w:val="003E7FBA"/>
    <w:rsid w:val="00413871"/>
    <w:rsid w:val="0042052C"/>
    <w:rsid w:val="00425A09"/>
    <w:rsid w:val="00431239"/>
    <w:rsid w:val="00454DC9"/>
    <w:rsid w:val="004634E2"/>
    <w:rsid w:val="00466A89"/>
    <w:rsid w:val="0047001A"/>
    <w:rsid w:val="00481D04"/>
    <w:rsid w:val="00487C30"/>
    <w:rsid w:val="00487C9C"/>
    <w:rsid w:val="0049467D"/>
    <w:rsid w:val="004B2493"/>
    <w:rsid w:val="004B5CB6"/>
    <w:rsid w:val="00514957"/>
    <w:rsid w:val="00566F60"/>
    <w:rsid w:val="00573807"/>
    <w:rsid w:val="0057679C"/>
    <w:rsid w:val="005A771E"/>
    <w:rsid w:val="005D0997"/>
    <w:rsid w:val="005E1783"/>
    <w:rsid w:val="005F2A79"/>
    <w:rsid w:val="00623605"/>
    <w:rsid w:val="006270D5"/>
    <w:rsid w:val="00631805"/>
    <w:rsid w:val="00643683"/>
    <w:rsid w:val="0064576C"/>
    <w:rsid w:val="00662411"/>
    <w:rsid w:val="00670F4B"/>
    <w:rsid w:val="00681FA7"/>
    <w:rsid w:val="006914BA"/>
    <w:rsid w:val="006A1465"/>
    <w:rsid w:val="006A24D3"/>
    <w:rsid w:val="006A6808"/>
    <w:rsid w:val="006E0B4E"/>
    <w:rsid w:val="006E6BFF"/>
    <w:rsid w:val="006F0E57"/>
    <w:rsid w:val="00711A1B"/>
    <w:rsid w:val="00714EE8"/>
    <w:rsid w:val="0074274F"/>
    <w:rsid w:val="00763ED0"/>
    <w:rsid w:val="00774964"/>
    <w:rsid w:val="00780CAC"/>
    <w:rsid w:val="0078575B"/>
    <w:rsid w:val="00792A25"/>
    <w:rsid w:val="007D2A52"/>
    <w:rsid w:val="007D3C16"/>
    <w:rsid w:val="007E1D49"/>
    <w:rsid w:val="007E366C"/>
    <w:rsid w:val="00805D0A"/>
    <w:rsid w:val="0080624B"/>
    <w:rsid w:val="008345A7"/>
    <w:rsid w:val="008755F2"/>
    <w:rsid w:val="00886100"/>
    <w:rsid w:val="0089188B"/>
    <w:rsid w:val="008C54F9"/>
    <w:rsid w:val="008D6153"/>
    <w:rsid w:val="009007D5"/>
    <w:rsid w:val="00905BD0"/>
    <w:rsid w:val="00967ABF"/>
    <w:rsid w:val="009910E3"/>
    <w:rsid w:val="009934D3"/>
    <w:rsid w:val="009978AE"/>
    <w:rsid w:val="009A23D1"/>
    <w:rsid w:val="009B4E7C"/>
    <w:rsid w:val="009C5F36"/>
    <w:rsid w:val="009E22FE"/>
    <w:rsid w:val="009E5768"/>
    <w:rsid w:val="009F0305"/>
    <w:rsid w:val="009F2107"/>
    <w:rsid w:val="00A049A0"/>
    <w:rsid w:val="00A12DAE"/>
    <w:rsid w:val="00A17B85"/>
    <w:rsid w:val="00A26B7B"/>
    <w:rsid w:val="00A35330"/>
    <w:rsid w:val="00A720ED"/>
    <w:rsid w:val="00A76E7A"/>
    <w:rsid w:val="00A9610E"/>
    <w:rsid w:val="00AA3327"/>
    <w:rsid w:val="00AA7BC8"/>
    <w:rsid w:val="00AC069F"/>
    <w:rsid w:val="00AC57D8"/>
    <w:rsid w:val="00AD3780"/>
    <w:rsid w:val="00AF1669"/>
    <w:rsid w:val="00AF220D"/>
    <w:rsid w:val="00B17373"/>
    <w:rsid w:val="00B17430"/>
    <w:rsid w:val="00B2105B"/>
    <w:rsid w:val="00B366D2"/>
    <w:rsid w:val="00B5020B"/>
    <w:rsid w:val="00B81DEB"/>
    <w:rsid w:val="00B94F03"/>
    <w:rsid w:val="00B9577C"/>
    <w:rsid w:val="00BA6242"/>
    <w:rsid w:val="00BC010E"/>
    <w:rsid w:val="00C07375"/>
    <w:rsid w:val="00C16EBF"/>
    <w:rsid w:val="00C31AE8"/>
    <w:rsid w:val="00C45F63"/>
    <w:rsid w:val="00C46FBF"/>
    <w:rsid w:val="00C5324D"/>
    <w:rsid w:val="00C76FE4"/>
    <w:rsid w:val="00CB2CDF"/>
    <w:rsid w:val="00CC4C19"/>
    <w:rsid w:val="00CD7A04"/>
    <w:rsid w:val="00CD7B3A"/>
    <w:rsid w:val="00CF60DB"/>
    <w:rsid w:val="00D05C22"/>
    <w:rsid w:val="00D159ED"/>
    <w:rsid w:val="00D353FE"/>
    <w:rsid w:val="00D82AF8"/>
    <w:rsid w:val="00DB1683"/>
    <w:rsid w:val="00DB479D"/>
    <w:rsid w:val="00DE3E80"/>
    <w:rsid w:val="00DE57FB"/>
    <w:rsid w:val="00DE7D1C"/>
    <w:rsid w:val="00E05992"/>
    <w:rsid w:val="00E142AC"/>
    <w:rsid w:val="00E1608A"/>
    <w:rsid w:val="00E21803"/>
    <w:rsid w:val="00E23A31"/>
    <w:rsid w:val="00E2482E"/>
    <w:rsid w:val="00E334D8"/>
    <w:rsid w:val="00E4607F"/>
    <w:rsid w:val="00E67DE6"/>
    <w:rsid w:val="00E71542"/>
    <w:rsid w:val="00E73911"/>
    <w:rsid w:val="00E74F13"/>
    <w:rsid w:val="00E84D98"/>
    <w:rsid w:val="00E85C85"/>
    <w:rsid w:val="00E94A7C"/>
    <w:rsid w:val="00EE2015"/>
    <w:rsid w:val="00F07D44"/>
    <w:rsid w:val="00F10804"/>
    <w:rsid w:val="00F1471D"/>
    <w:rsid w:val="00F24B7E"/>
    <w:rsid w:val="00F35D8F"/>
    <w:rsid w:val="00F41625"/>
    <w:rsid w:val="00F4707C"/>
    <w:rsid w:val="00F60F34"/>
    <w:rsid w:val="00F66573"/>
    <w:rsid w:val="00F95444"/>
    <w:rsid w:val="00FC1EE3"/>
    <w:rsid w:val="00FC54A9"/>
    <w:rsid w:val="0524197F"/>
    <w:rsid w:val="4EA84268"/>
    <w:rsid w:val="79D2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D6539"/>
  <w15:docId w15:val="{29AF3A74-041C-4084-A564-AC7B6521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spacing w:after="160" w:line="278" w:lineRule="auto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6">
    <w:name w:val="Balloon Text"/>
    <w:basedOn w:val="a"/>
    <w:link w:val="a7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正文文本缩进 字符"/>
    <w:basedOn w:val="a0"/>
    <w:link w:val="a4"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  <w:style w:type="character" w:customStyle="1" w:styleId="font11">
    <w:name w:val="font11"/>
    <w:basedOn w:val="a0"/>
    <w:qFormat/>
    <w:rsid w:val="0057679C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484</Words>
  <Characters>2761</Characters>
  <Application>Microsoft Office Word</Application>
  <DocSecurity>0</DocSecurity>
  <Lines>23</Lines>
  <Paragraphs>6</Paragraphs>
  <ScaleCrop>false</ScaleCrop>
  <Company>Lenovo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陆晨凯</cp:lastModifiedBy>
  <cp:revision>44</cp:revision>
  <cp:lastPrinted>2021-08-19T10:22:00Z</cp:lastPrinted>
  <dcterms:created xsi:type="dcterms:W3CDTF">2024-11-19T05:49:00Z</dcterms:created>
  <dcterms:modified xsi:type="dcterms:W3CDTF">2024-11-29T00:07:00Z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D5594638CA564FA1B2767B34D183446A_13</vt:lpwstr>
  </property>
</Properties>
</file>