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3080" w:hanging="3080" w:hangingChars="700"/>
        <w:jc w:val="center"/>
        <w:rPr>
          <w:rFonts w:ascii="方正小标宋简体" w:eastAsia="方正小标宋简体" w:cs="Arial" w:hAnsiTheme="majorEastAsia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 w:cs="Arial" w:hAnsiTheme="majorEastAsia"/>
          <w:sz w:val="44"/>
          <w:szCs w:val="44"/>
          <w:shd w:val="clear" w:color="auto" w:fill="FFFFFF"/>
        </w:rPr>
        <w:t>钱江水利开发股份有限公司</w:t>
      </w:r>
    </w:p>
    <w:p>
      <w:pPr>
        <w:adjustRightInd w:val="0"/>
        <w:snapToGrid w:val="0"/>
        <w:ind w:left="3080" w:hanging="3080" w:hangingChars="700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市值管理工作服务项目</w:t>
      </w:r>
      <w:r>
        <w:rPr>
          <w:rFonts w:hint="eastAsia" w:ascii="方正小标宋简体" w:hAnsi="方正公文小标宋" w:eastAsia="方正小标宋简体" w:cs="方正公文小标宋"/>
          <w:bCs/>
          <w:sz w:val="44"/>
          <w:szCs w:val="44"/>
        </w:rPr>
        <w:t>比选公告</w:t>
      </w:r>
    </w:p>
    <w:p>
      <w:pPr>
        <w:wordWrap w:val="0"/>
        <w:spacing w:line="360" w:lineRule="auto"/>
        <w:ind w:firstLine="482" w:firstLineChars="200"/>
        <w:outlineLvl w:val="1"/>
        <w:rPr>
          <w:rFonts w:ascii="宋体" w:hAnsi="宋体" w:cs="Tahoma"/>
          <w:b/>
          <w:bCs/>
          <w:kern w:val="0"/>
          <w:sz w:val="24"/>
        </w:rPr>
      </w:pPr>
    </w:p>
    <w:p>
      <w:pPr>
        <w:wordWrap w:val="0"/>
        <w:spacing w:line="560" w:lineRule="exact"/>
        <w:ind w:firstLine="640" w:firstLineChars="200"/>
        <w:outlineLvl w:val="1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一、项目说明</w:t>
      </w:r>
      <w:bookmarkStart w:id="2" w:name="_GoBack"/>
      <w:bookmarkEnd w:id="2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为加深投资者对公司的了解，增进上市公司的市场认同和价值实现，增厚公司的品牌价值，根据《关于做好央企控股上市公司2021年投资者沟通工作有关事项的通知》和《提高央企控股上市公司质量工作方案》的有关内容，公司需选定2024年市值管理服务单位，通过专业机构的管理服务逐步建立规范有效的市值管理体系，提升企业内在价值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1.服务内容：</w:t>
      </w:r>
    </w:p>
    <w:tbl>
      <w:tblPr>
        <w:tblStyle w:val="9"/>
        <w:tblW w:w="8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961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80" w:type="dxa"/>
            <w:shd w:val="clear" w:color="auto" w:fill="FFFFFF" w:themeFill="background1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服务项目</w:t>
            </w:r>
          </w:p>
        </w:tc>
        <w:tc>
          <w:tcPr>
            <w:tcW w:w="4961" w:type="dxa"/>
            <w:shd w:val="clear" w:color="auto" w:fill="FFFFFF" w:themeFill="background1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内容（数量）</w:t>
            </w:r>
          </w:p>
        </w:tc>
        <w:tc>
          <w:tcPr>
            <w:tcW w:w="1674" w:type="dxa"/>
            <w:shd w:val="clear" w:color="auto" w:fill="FFFFFF" w:themeFill="background1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确认市值管理工作方案</w:t>
            </w:r>
          </w:p>
        </w:tc>
        <w:tc>
          <w:tcPr>
            <w:tcW w:w="4961" w:type="dxa"/>
            <w:shd w:val="clear" w:color="auto" w:fill="FFFFFF" w:themeFill="background1"/>
          </w:tcPr>
          <w:p>
            <w:pPr>
              <w:pStyle w:val="6"/>
              <w:numPr>
                <w:ilvl w:val="0"/>
                <w:numId w:val="1"/>
              </w:numPr>
              <w:spacing w:line="400" w:lineRule="exact"/>
              <w:ind w:left="0"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研究国企市值管理考核细则，提出针对性工作建议；协助完成内部市值管相关的汇报材料和工作计划。</w:t>
            </w:r>
          </w:p>
          <w:p>
            <w:pPr>
              <w:pStyle w:val="6"/>
              <w:numPr>
                <w:ilvl w:val="0"/>
                <w:numId w:val="1"/>
              </w:numPr>
              <w:spacing w:line="400" w:lineRule="exact"/>
              <w:ind w:left="0"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通过调研、走访、访谈等方式，梳理公司资本市场发展现状，挖掘公司投资价值亮点，搭建资本市场沟通逻辑，协助拟定更能合理突显公司优势和工作成效的市值管理框架。</w:t>
            </w:r>
          </w:p>
          <w:p>
            <w:pPr>
              <w:pStyle w:val="6"/>
              <w:numPr>
                <w:ilvl w:val="0"/>
                <w:numId w:val="1"/>
              </w:numPr>
              <w:spacing w:line="400" w:lineRule="exact"/>
              <w:ind w:left="0"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完成至少1轮公司资本市场调研，以及高管、经营、研发、生产团队的调研；调研完成后将梳理汇总形成资本市场形象报告，协助完成资本市场“标签化”形象的建立。提炼公司传播亮点，策划传播主线。</w:t>
            </w:r>
          </w:p>
        </w:tc>
        <w:tc>
          <w:tcPr>
            <w:tcW w:w="1674" w:type="dxa"/>
            <w:shd w:val="clear" w:color="auto" w:fill="FFFFFF" w:themeFill="background1"/>
            <w:vAlign w:val="center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稿件撰写</w:t>
            </w:r>
          </w:p>
        </w:tc>
        <w:tc>
          <w:tcPr>
            <w:tcW w:w="4961" w:type="dxa"/>
            <w:shd w:val="clear" w:color="auto" w:fill="FFFFFF" w:themeFill="background1"/>
          </w:tcPr>
          <w:p>
            <w:pPr>
              <w:pStyle w:val="6"/>
              <w:numPr>
                <w:ilvl w:val="0"/>
                <w:numId w:val="2"/>
              </w:numPr>
              <w:spacing w:line="400" w:lineRule="exact"/>
              <w:ind w:left="0"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2篇简讯（300字左右）；</w:t>
            </w:r>
          </w:p>
          <w:p>
            <w:pPr>
              <w:pStyle w:val="6"/>
              <w:numPr>
                <w:ilvl w:val="0"/>
                <w:numId w:val="2"/>
              </w:numPr>
              <w:spacing w:line="400" w:lineRule="exact"/>
              <w:ind w:left="0"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2篇中篇传播稿件（800字左右），每篇文章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≧</w:t>
            </w:r>
            <w:r>
              <w:rPr>
                <w:rFonts w:hint="eastAsia" w:ascii="仿宋_GB2312" w:eastAsia="仿宋_GB2312"/>
                <w:sz w:val="28"/>
                <w:szCs w:val="28"/>
              </w:rPr>
              <w:t>10家财经媒体转载；</w:t>
            </w:r>
          </w:p>
          <w:p>
            <w:pPr>
              <w:pStyle w:val="6"/>
              <w:numPr>
                <w:ilvl w:val="0"/>
                <w:numId w:val="2"/>
              </w:numPr>
              <w:spacing w:line="400" w:lineRule="exact"/>
              <w:ind w:left="0"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2篇深度解读稿件（1500字左右），每篇文章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≧</w:t>
            </w:r>
            <w:r>
              <w:rPr>
                <w:rFonts w:hint="eastAsia" w:ascii="仿宋_GB2312" w:eastAsia="仿宋_GB2312"/>
                <w:sz w:val="28"/>
                <w:szCs w:val="28"/>
              </w:rPr>
              <w:t>15家财经媒体转载。</w:t>
            </w:r>
          </w:p>
        </w:tc>
        <w:tc>
          <w:tcPr>
            <w:tcW w:w="1674" w:type="dxa"/>
            <w:shd w:val="clear" w:color="auto" w:fill="FFFFFF" w:themeFill="background1"/>
            <w:vAlign w:val="center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提炼公司传播亮点，策划传播主线，发表传播稿件不少于5次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传播反馈</w:t>
            </w:r>
          </w:p>
        </w:tc>
        <w:tc>
          <w:tcPr>
            <w:tcW w:w="4961" w:type="dxa"/>
            <w:shd w:val="clear" w:color="auto" w:fill="FFFFFF" w:themeFill="background1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每篇文章传播后提供传播总结报告。</w:t>
            </w:r>
          </w:p>
        </w:tc>
        <w:tc>
          <w:tcPr>
            <w:tcW w:w="1674" w:type="dxa"/>
            <w:shd w:val="clear" w:color="auto" w:fill="FFFFFF" w:themeFill="background1"/>
            <w:vAlign w:val="center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传播结束后2日内提交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shd w:val="clear" w:color="auto" w:fill="FFFFFF" w:themeFill="background1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舆情监测服务</w:t>
            </w:r>
          </w:p>
        </w:tc>
        <w:tc>
          <w:tcPr>
            <w:tcW w:w="4961" w:type="dxa"/>
            <w:shd w:val="clear" w:color="auto" w:fill="FFFFFF" w:themeFill="background1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舆情监控、公司重大事件舆论追踪、敏感行业信息抓取。</w:t>
            </w:r>
          </w:p>
        </w:tc>
        <w:tc>
          <w:tcPr>
            <w:tcW w:w="1674" w:type="dxa"/>
            <w:shd w:val="clear" w:color="auto" w:fill="FFFFFF" w:themeFill="background1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公司舆情周报50份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shd w:val="clear" w:color="auto" w:fill="FFFFFF" w:themeFill="background1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股价巨大波动的原因报告。</w:t>
            </w:r>
          </w:p>
        </w:tc>
        <w:tc>
          <w:tcPr>
            <w:tcW w:w="1674" w:type="dxa"/>
            <w:shd w:val="clear" w:color="auto" w:fill="FFFFFF" w:themeFill="background1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按需汇报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shd w:val="clear" w:color="auto" w:fill="FFFFFF" w:themeFill="background1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舆情危机咨询及媒体关系处理</w:t>
            </w:r>
          </w:p>
        </w:tc>
        <w:tc>
          <w:tcPr>
            <w:tcW w:w="4961" w:type="dxa"/>
            <w:shd w:val="clear" w:color="auto" w:fill="FFFFFF" w:themeFill="background1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针对突发危急舆情，提供专项分析报告及处置建议。</w:t>
            </w:r>
          </w:p>
        </w:tc>
        <w:tc>
          <w:tcPr>
            <w:tcW w:w="1674" w:type="dxa"/>
            <w:shd w:val="clear" w:color="auto" w:fill="FFFFFF" w:themeFill="background1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按需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shd w:val="clear" w:color="auto" w:fill="FFFFFF" w:themeFill="background1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媒体关系服务</w:t>
            </w:r>
          </w:p>
        </w:tc>
        <w:tc>
          <w:tcPr>
            <w:tcW w:w="4961" w:type="dxa"/>
            <w:shd w:val="clear" w:color="auto" w:fill="FFFFFF" w:themeFill="background1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搭建与媒体之前的沟通桥梁，维系与各媒体的良好关系，协助公司组织媒体活动。</w:t>
            </w:r>
          </w:p>
        </w:tc>
        <w:tc>
          <w:tcPr>
            <w:tcW w:w="1674" w:type="dxa"/>
            <w:shd w:val="clear" w:color="auto" w:fill="FFFFFF" w:themeFill="background1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shd w:val="clear" w:color="auto" w:fill="FFFFFF" w:themeFill="background1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参与资本市场奖项评选</w:t>
            </w:r>
          </w:p>
        </w:tc>
        <w:tc>
          <w:tcPr>
            <w:tcW w:w="4961" w:type="dxa"/>
            <w:shd w:val="clear" w:color="auto" w:fill="FFFFFF" w:themeFill="background1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协助公司奖评选活动，全程协助公司推进自荐参选、公众投票等环节相关工作，争取获得奖项。</w:t>
            </w:r>
          </w:p>
        </w:tc>
        <w:tc>
          <w:tcPr>
            <w:tcW w:w="1674" w:type="dxa"/>
            <w:shd w:val="clear" w:color="auto" w:fill="FFFFFF" w:themeFill="background1"/>
          </w:tcPr>
          <w:p>
            <w:pPr>
              <w:pStyle w:val="6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2.服务期限：不超过12个月（具体以签订合同开始计算）,招标人可根据中标人的服务质量及履约情况决定是否续约一年。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二、资质要求</w:t>
      </w:r>
      <w:r>
        <w:rPr>
          <w:rFonts w:hint="eastAsia" w:ascii="黑体" w:hAnsi="黑体" w:eastAsia="黑体" w:cs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ascii="仿宋_GB2312" w:hAnsi="仿宋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sz w:val="32"/>
          <w:szCs w:val="32"/>
          <w:shd w:val="clear" w:color="auto" w:fill="FFFFFF"/>
        </w:rPr>
        <w:t>1.持有工商行政管理部门颁发的营业执照，能独立向采购人提供本项目所需服务；</w:t>
      </w:r>
    </w:p>
    <w:p>
      <w:pPr>
        <w:spacing w:line="560" w:lineRule="exact"/>
        <w:ind w:firstLine="640" w:firstLineChars="200"/>
        <w:rPr>
          <w:rFonts w:ascii="仿宋_GB2312" w:hAnsi="仿宋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sz w:val="32"/>
          <w:szCs w:val="32"/>
          <w:shd w:val="clear" w:color="auto" w:fill="FFFFFF"/>
        </w:rPr>
        <w:t>2.具备良好的市场信誉，最近五年无违法和重大违规执业行为，没有处于被责令停业、破产和财产被接管、冻结的状态，在政府采购活动中没有严重违法失信行为记录；</w:t>
      </w:r>
    </w:p>
    <w:p>
      <w:pPr>
        <w:spacing w:line="560" w:lineRule="exact"/>
        <w:ind w:firstLine="640" w:firstLineChars="200"/>
        <w:rPr>
          <w:rFonts w:ascii="仿宋_GB2312" w:hAnsi="仿宋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sz w:val="32"/>
          <w:szCs w:val="32"/>
          <w:shd w:val="clear" w:color="auto" w:fill="FFFFFF"/>
        </w:rPr>
        <w:t>3.供应商具备投资咨询牌照及其他与本项目相关的行业资质证明、认证证书；</w:t>
      </w:r>
    </w:p>
    <w:p>
      <w:pPr>
        <w:spacing w:line="560" w:lineRule="exact"/>
        <w:ind w:firstLine="640" w:firstLineChars="200"/>
        <w:rPr>
          <w:rFonts w:ascii="仿宋_GB2312" w:hAnsi="仿宋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sz w:val="32"/>
          <w:szCs w:val="32"/>
          <w:shd w:val="clear" w:color="auto" w:fill="FFFFFF"/>
        </w:rPr>
        <w:t>4.具备足够的市值管理服务能力；</w:t>
      </w:r>
    </w:p>
    <w:p>
      <w:pPr>
        <w:spacing w:line="560" w:lineRule="exact"/>
        <w:ind w:firstLine="640" w:firstLineChars="200"/>
        <w:rPr>
          <w:rFonts w:ascii="仿宋_GB2312" w:hAnsi="仿宋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sz w:val="32"/>
          <w:szCs w:val="32"/>
          <w:shd w:val="clear" w:color="auto" w:fill="FFFFFF"/>
        </w:rPr>
        <w:t>5.具有相关服务经验。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三、控制价</w:t>
      </w:r>
    </w:p>
    <w:p>
      <w:pPr>
        <w:pStyle w:val="6"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Arial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kern w:val="2"/>
          <w:sz w:val="32"/>
          <w:szCs w:val="32"/>
          <w:shd w:val="clear" w:color="auto" w:fill="FFFFFF"/>
        </w:rPr>
        <w:t>控制价设置在17万元。</w:t>
      </w:r>
    </w:p>
    <w:p>
      <w:pPr>
        <w:wordWrap w:val="0"/>
        <w:spacing w:line="560" w:lineRule="exact"/>
        <w:ind w:firstLine="640" w:firstLineChars="200"/>
        <w:outlineLvl w:val="1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四、响应文件递交要求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1.各响应单位请于2024年6月26日17点前（截止日期）以扫描件（电子版）方式将响应文件（需盖公章）发送至 luchenkaicoming@163.com（以邮件接收时间为准）。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2.响应文件组成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Hlk57468528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2.1资格证明文件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（1）营业执照证明材料复印件（加盖公章）。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2.2商务报价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（1）报价表（加盖公章）.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2.3技术方案</w:t>
      </w:r>
      <w:bookmarkStart w:id="1" w:name="_Hlk169618728"/>
      <w:r>
        <w:rPr>
          <w:rFonts w:hint="eastAsia" w:ascii="仿宋_GB2312" w:hAnsi="仿宋_GB2312" w:eastAsia="仿宋_GB2312" w:cs="仿宋_GB2312"/>
          <w:sz w:val="32"/>
          <w:szCs w:val="32"/>
        </w:rPr>
        <w:t>（包含专业人员配备及管理、工作方案、资源组合、保障措施、成果输出等）（加盖公章）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2.4</w:t>
      </w:r>
      <w:r>
        <w:rPr>
          <w:rFonts w:hint="eastAsia" w:ascii="仿宋_GB2312" w:hAnsi="仿宋_GB2312" w:eastAsia="仿宋_GB2312" w:cs="仿宋_GB2312"/>
          <w:sz w:val="32"/>
          <w:szCs w:val="32"/>
        </w:rPr>
        <w:t>近3年财务报表（加盖公章）。</w:t>
      </w:r>
    </w:p>
    <w:bookmarkEnd w:id="0"/>
    <w:p>
      <w:pPr>
        <w:wordWrap w:val="0"/>
        <w:spacing w:line="560" w:lineRule="exact"/>
        <w:ind w:firstLine="640" w:firstLineChars="200"/>
        <w:outlineLvl w:val="1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五、中标原则</w:t>
      </w:r>
    </w:p>
    <w:p>
      <w:pPr>
        <w:wordWrap w:val="0"/>
        <w:spacing w:line="560" w:lineRule="exact"/>
        <w:ind w:firstLine="640" w:firstLineChars="200"/>
        <w:outlineLvl w:val="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采购人将根据综合评分法选择供应商。综合评估后选定中标单位，具体评估办法由钱江水利评审小组确定。中标候选资格按综合得分由高到低顺序排列，</w:t>
      </w:r>
      <w:r>
        <w:rPr>
          <w:rFonts w:hint="eastAsia" w:ascii="仿宋_GB2312" w:hAnsi="仿宋" w:eastAsia="仿宋_GB2312"/>
          <w:sz w:val="32"/>
          <w:szCs w:val="32"/>
        </w:rPr>
        <w:t>推荐综合评分排名第一的供应商为中标单位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，得分相同的，按综合报价由低到高顺序排列。若中标人无法满足本次资产评估的服务要求，将根据中标候选人的顺序继续由第二名提供评估服务，直至满足公司需求。</w:t>
      </w:r>
    </w:p>
    <w:p>
      <w:pPr>
        <w:wordWrap w:val="0"/>
        <w:spacing w:line="560" w:lineRule="exact"/>
        <w:ind w:firstLine="640" w:firstLineChars="200"/>
        <w:outlineLvl w:val="1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六、其他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供应商对本比选文件有疑问的，请于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2024年6月23日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</w:t>
      </w:r>
      <w:r>
        <w:fldChar w:fldCharType="begin"/>
      </w:r>
      <w:r>
        <w:instrText xml:space="preserve"> HYPERLINK "mailto:00点前，提交一份质疑文件电子文档（word版，须注明报价人名称）发邮件至下列邮箱（XCZYHY@163.COM），拨打电话0531-69901727通知。" </w:instrText>
      </w:r>
      <w:r>
        <w:fldChar w:fldCharType="separat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点前，提交一份质疑文件电子文档（word版，须注明报价人名称）发邮件至下列邮箱luchenkaicoming@163.com。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项目单位：钱江水利开发股份有限公司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址：杭州市西湖区三台山路3号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人：陆先生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  话：0571-86059503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附件：1.评分规则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2.报价表</w:t>
      </w: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3.技术方案</w:t>
      </w:r>
    </w:p>
    <w:p>
      <w:pPr>
        <w:spacing w:line="560" w:lineRule="exact"/>
        <w:jc w:val="center"/>
      </w:pPr>
    </w:p>
    <w:p>
      <w:pPr>
        <w:spacing w:line="560" w:lineRule="exact"/>
        <w:jc w:val="center"/>
      </w:pPr>
    </w:p>
    <w:p>
      <w:pPr>
        <w:spacing w:line="560" w:lineRule="exact"/>
        <w:jc w:val="center"/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钱江水利开发股份有限公司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2024年6月21日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附件1</w:t>
      </w:r>
    </w:p>
    <w:p>
      <w:pPr>
        <w:spacing w:before="156" w:beforeLines="50" w:after="312" w:afterLines="100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评分细则</w:t>
      </w:r>
    </w:p>
    <w:tbl>
      <w:tblPr>
        <w:tblStyle w:val="8"/>
        <w:tblW w:w="51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183"/>
        <w:gridCol w:w="2128"/>
        <w:gridCol w:w="4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24" w:type="pct"/>
            <w:vAlign w:val="center"/>
          </w:tcPr>
          <w:p>
            <w:pPr>
              <w:pStyle w:val="5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72" w:type="pct"/>
            <w:vAlign w:val="center"/>
          </w:tcPr>
          <w:p>
            <w:pPr>
              <w:pStyle w:val="5"/>
              <w:ind w:firstLine="201" w:firstLineChars="100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1209" w:type="pct"/>
            <w:vAlign w:val="center"/>
          </w:tcPr>
          <w:p>
            <w:pPr>
              <w:widowControl/>
              <w:ind w:firstLine="402" w:firstLineChars="200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评分项目</w:t>
            </w:r>
          </w:p>
        </w:tc>
        <w:tc>
          <w:tcPr>
            <w:tcW w:w="2695" w:type="pct"/>
            <w:vAlign w:val="center"/>
          </w:tcPr>
          <w:p>
            <w:pPr>
              <w:widowControl/>
              <w:ind w:firstLine="1606" w:firstLineChars="800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评分规则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4" w:type="pct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672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商务标</w:t>
            </w:r>
          </w:p>
          <w:p>
            <w:pPr>
              <w:pStyle w:val="5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（50分）</w:t>
            </w:r>
          </w:p>
        </w:tc>
        <w:tc>
          <w:tcPr>
            <w:tcW w:w="1209" w:type="pct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报价（50分）</w:t>
            </w:r>
          </w:p>
        </w:tc>
        <w:tc>
          <w:tcPr>
            <w:tcW w:w="2695" w:type="pct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以全部有效投标人的报价算数平均值为评标基准价，当有效投标报价等于评标基准价时得满分50分；有效投标报价与评标基准价相比，每上偏1%扣1分（计算公式：（50-（投标人报价－评标基准价）/评标基准价*100*1），每下偏 1 %扣0.5分（计算公式：（50-（评标基准价－投标人报价）/评标基准价*100*0.5）。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4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672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技术标</w:t>
            </w:r>
          </w:p>
          <w:p>
            <w:pPr>
              <w:pStyle w:val="5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（50分）</w:t>
            </w:r>
          </w:p>
        </w:tc>
        <w:tc>
          <w:tcPr>
            <w:tcW w:w="1209" w:type="pct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服务方案（20分）</w:t>
            </w:r>
          </w:p>
        </w:tc>
        <w:tc>
          <w:tcPr>
            <w:tcW w:w="2695" w:type="pct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根据投标人提供的服务方案，评判方案可行性、合理性，需求理解的全面性、详细程度，关键问题的准确识别分析情况，进行综合评审，包括但不限于以下方面：专业人员配备及管理、工作方案、资源组合、保障措施、成果输出等。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优秀：13分≤得分≤20分；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良好：7分≤得分≤12分；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一般：0分≤得分≤6分。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20"/>
                <w:szCs w:val="20"/>
              </w:rPr>
            </w:pPr>
          </w:p>
        </w:tc>
        <w:tc>
          <w:tcPr>
            <w:tcW w:w="672" w:type="pct"/>
            <w:vMerge w:val="continue"/>
            <w:vAlign w:val="center"/>
          </w:tcPr>
          <w:p>
            <w:pPr>
              <w:pStyle w:val="5"/>
              <w:rPr>
                <w:rFonts w:ascii="仿宋_GB2312" w:eastAsia="仿宋_GB2312"/>
              </w:rPr>
            </w:pPr>
          </w:p>
        </w:tc>
        <w:tc>
          <w:tcPr>
            <w:tcW w:w="1209" w:type="pct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技术资质（10分）</w:t>
            </w:r>
          </w:p>
        </w:tc>
        <w:tc>
          <w:tcPr>
            <w:tcW w:w="2695" w:type="pct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根据投标人提供工作方案，从供应商拥有的机构牌照、从业人员资质、技术著作权及专利认证等方面，评审小组进行横向对比评价。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优秀：7分≤得分≤10分；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良好：4分≤得分≤6分；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一般：0分≤得分≤3分。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20"/>
                <w:szCs w:val="20"/>
              </w:rPr>
            </w:pPr>
          </w:p>
        </w:tc>
        <w:tc>
          <w:tcPr>
            <w:tcW w:w="672" w:type="pct"/>
            <w:vMerge w:val="continue"/>
            <w:vAlign w:val="center"/>
          </w:tcPr>
          <w:p>
            <w:pPr>
              <w:pStyle w:val="5"/>
              <w:rPr>
                <w:rFonts w:ascii="仿宋_GB2312" w:eastAsia="仿宋_GB2312"/>
              </w:rPr>
            </w:pPr>
          </w:p>
        </w:tc>
        <w:tc>
          <w:tcPr>
            <w:tcW w:w="1209" w:type="pct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财务实力（10分）</w:t>
            </w:r>
          </w:p>
        </w:tc>
        <w:tc>
          <w:tcPr>
            <w:tcW w:w="2695" w:type="pct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供应商提供自身最近3年财务报表，包含注册资本金额、营业收入、净利润、财务报告审计情况等信息，评审小组进行横向对比评价。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优秀：7分≤得分≤10分；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良好：4分≤得分≤6分；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一般：0分≤得分≤3分。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20"/>
                <w:szCs w:val="20"/>
              </w:rPr>
            </w:pPr>
          </w:p>
        </w:tc>
        <w:tc>
          <w:tcPr>
            <w:tcW w:w="672" w:type="pct"/>
            <w:vMerge w:val="continue"/>
            <w:vAlign w:val="center"/>
          </w:tcPr>
          <w:p>
            <w:pPr>
              <w:pStyle w:val="5"/>
              <w:rPr>
                <w:rFonts w:ascii="仿宋_GB2312" w:hAnsi="仿宋" w:eastAsia="仿宋_GB2312" w:cs="仿宋"/>
                <w:kern w:val="0"/>
                <w:sz w:val="20"/>
                <w:szCs w:val="20"/>
              </w:rPr>
            </w:pPr>
          </w:p>
        </w:tc>
        <w:tc>
          <w:tcPr>
            <w:tcW w:w="1209" w:type="pct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其他（10分）</w:t>
            </w:r>
          </w:p>
        </w:tc>
        <w:tc>
          <w:tcPr>
            <w:tcW w:w="2695" w:type="pct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根据投标人提供的工作方案，自2020年以来服务客户（包含但不限于：上市公司、证券机构、监管机构等）数量及类型，评审小组进行横向对比评价。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优秀：7分≤得分≤10分；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良好：4分≤得分≤6分；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一般：0分≤得分≤3分。</w:t>
            </w: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附件2</w:t>
      </w:r>
    </w:p>
    <w:p>
      <w:pPr>
        <w:widowControl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钱江水利开发股份有限公司</w:t>
      </w:r>
    </w:p>
    <w:p>
      <w:pPr>
        <w:widowControl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市值管理工作服务项目报价表</w:t>
      </w:r>
    </w:p>
    <w:p>
      <w:pPr>
        <w:pStyle w:val="5"/>
      </w:pPr>
    </w:p>
    <w:tbl>
      <w:tblPr>
        <w:tblStyle w:val="9"/>
        <w:tblW w:w="7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投标人</w:t>
            </w:r>
          </w:p>
        </w:tc>
        <w:tc>
          <w:tcPr>
            <w:tcW w:w="6662" w:type="dxa"/>
            <w:vAlign w:val="center"/>
          </w:tcPr>
          <w:p>
            <w:pPr>
              <w:ind w:left="17" w:hanging="16" w:hangingChars="8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报价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（单位：元）</w:t>
            </w:r>
          </w:p>
        </w:tc>
        <w:tc>
          <w:tcPr>
            <w:tcW w:w="66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技术资质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####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服务对象和类型罗列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案例1：####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案例2：####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技术资质、过往服务案例</w:t>
            </w:r>
            <w:r>
              <w:rPr>
                <w:rFonts w:ascii="仿宋" w:hAnsi="仿宋" w:eastAsia="仿宋" w:cs="仿宋"/>
                <w:szCs w:val="21"/>
              </w:rPr>
              <w:t>需在技术方案中</w:t>
            </w:r>
            <w:r>
              <w:rPr>
                <w:rFonts w:hint="eastAsia" w:ascii="仿宋" w:hAnsi="仿宋" w:eastAsia="仿宋" w:cs="仿宋"/>
                <w:szCs w:val="21"/>
              </w:rPr>
              <w:t>体现。</w:t>
            </w:r>
          </w:p>
        </w:tc>
      </w:tr>
    </w:tbl>
    <w:p/>
    <w:p>
      <w:pPr>
        <w:snapToGrid w:val="0"/>
        <w:spacing w:line="312" w:lineRule="auto"/>
        <w:ind w:right="112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投标人名称(盖章)：</w:t>
      </w:r>
    </w:p>
    <w:p>
      <w:pPr>
        <w:snapToGrid w:val="0"/>
        <w:spacing w:line="312" w:lineRule="auto"/>
        <w:ind w:right="112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</w:t>
      </w:r>
    </w:p>
    <w:p>
      <w:pPr>
        <w:tabs>
          <w:tab w:val="left" w:pos="8312"/>
        </w:tabs>
        <w:snapToGrid w:val="0"/>
        <w:spacing w:line="300" w:lineRule="auto"/>
        <w:ind w:right="-52" w:firstLine="4760" w:firstLineChars="17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附件3：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1.技术方案（包含专业人员配备及管理、工作方案、资源组合、保障措施、成果输出等）（加盖公章）。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近3年财务报表（加盖公章）。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699FB9-0C93-450A-B6B4-527650DEDB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EA5A76C-3E0F-49E8-81D8-1C7D9F9E96AE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F1975B2E-F77F-494E-92A2-24CF619DA9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2876A98-6D38-48DD-B51B-4A4224BA413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5" w:fontKey="{F08F8712-922D-4D87-BF3D-F627EE541A6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6" w:fontKey="{9F1A5463-BFAC-4410-A0EB-43ECAE515DD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ED316523-C398-4B0C-AD71-DDE2395669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A8C1A54A-8E7A-4576-80FB-2A6AF8EEDE3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DA5F4E"/>
    <w:multiLevelType w:val="singleLevel"/>
    <w:tmpl w:val="AEDA5F4E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1">
    <w:nsid w:val="11940E44"/>
    <w:multiLevelType w:val="multilevel"/>
    <w:tmpl w:val="11940E44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wYmEzY2IxODgzYzkyOTQ3Y2ZmNDM4MDkyNGFjM2QifQ=="/>
  </w:docVars>
  <w:rsids>
    <w:rsidRoot w:val="00C825C4"/>
    <w:rsid w:val="00037336"/>
    <w:rsid w:val="00074973"/>
    <w:rsid w:val="00083313"/>
    <w:rsid w:val="001C73E2"/>
    <w:rsid w:val="00200BC1"/>
    <w:rsid w:val="00206441"/>
    <w:rsid w:val="00232087"/>
    <w:rsid w:val="002417E0"/>
    <w:rsid w:val="00250F46"/>
    <w:rsid w:val="002E4E6C"/>
    <w:rsid w:val="002F511A"/>
    <w:rsid w:val="003205C5"/>
    <w:rsid w:val="003400D4"/>
    <w:rsid w:val="00376D4B"/>
    <w:rsid w:val="003E6450"/>
    <w:rsid w:val="00413314"/>
    <w:rsid w:val="00476FBF"/>
    <w:rsid w:val="00481504"/>
    <w:rsid w:val="004C7A4B"/>
    <w:rsid w:val="00511105"/>
    <w:rsid w:val="005173D3"/>
    <w:rsid w:val="005D7718"/>
    <w:rsid w:val="006267BC"/>
    <w:rsid w:val="00660D2F"/>
    <w:rsid w:val="00682CB7"/>
    <w:rsid w:val="00753C65"/>
    <w:rsid w:val="007676DC"/>
    <w:rsid w:val="007D3EA9"/>
    <w:rsid w:val="00821EE8"/>
    <w:rsid w:val="00845485"/>
    <w:rsid w:val="008850EA"/>
    <w:rsid w:val="008D36E7"/>
    <w:rsid w:val="009137EF"/>
    <w:rsid w:val="009700EA"/>
    <w:rsid w:val="00984A4A"/>
    <w:rsid w:val="00A76E89"/>
    <w:rsid w:val="00B31503"/>
    <w:rsid w:val="00B45628"/>
    <w:rsid w:val="00BB315D"/>
    <w:rsid w:val="00BE7BEB"/>
    <w:rsid w:val="00BF389A"/>
    <w:rsid w:val="00C71180"/>
    <w:rsid w:val="00C81247"/>
    <w:rsid w:val="00C825C4"/>
    <w:rsid w:val="00CA35DA"/>
    <w:rsid w:val="00CD01E9"/>
    <w:rsid w:val="00D1572C"/>
    <w:rsid w:val="00D66D57"/>
    <w:rsid w:val="00D673D6"/>
    <w:rsid w:val="00DA0D47"/>
    <w:rsid w:val="00DC047A"/>
    <w:rsid w:val="00DC7E36"/>
    <w:rsid w:val="00DD0C4B"/>
    <w:rsid w:val="00DD2869"/>
    <w:rsid w:val="00E0168D"/>
    <w:rsid w:val="00E669C6"/>
    <w:rsid w:val="00E91C1E"/>
    <w:rsid w:val="00EB218F"/>
    <w:rsid w:val="00EE5E8F"/>
    <w:rsid w:val="00FF20AB"/>
    <w:rsid w:val="33574394"/>
    <w:rsid w:val="3ABF222A"/>
    <w:rsid w:val="569304F5"/>
    <w:rsid w:val="6BAA760C"/>
    <w:rsid w:val="6D783443"/>
    <w:rsid w:val="7E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unhideWhenUsed/>
    <w:qFormat/>
    <w:uiPriority w:val="39"/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 2"/>
    <w:basedOn w:val="2"/>
    <w:link w:val="17"/>
    <w:unhideWhenUsed/>
    <w:qFormat/>
    <w:uiPriority w:val="99"/>
    <w:pPr>
      <w:widowControl/>
      <w:adjustRightInd w:val="0"/>
      <w:spacing w:after="0" w:line="520" w:lineRule="exact"/>
      <w:ind w:left="0" w:leftChars="0" w:firstLine="420" w:firstLineChars="200"/>
    </w:pPr>
    <w:rPr>
      <w:rFonts w:ascii="仿宋_GB2312" w:hAnsi="宋体" w:eastAsia="仿宋_GB2312"/>
      <w:kern w:val="0"/>
      <w:sz w:val="32"/>
      <w:szCs w:val="32"/>
      <w:lang w:val="zh-CN"/>
    </w:rPr>
  </w:style>
  <w:style w:type="table" w:styleId="9">
    <w:name w:val="Table Grid"/>
    <w:basedOn w:val="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4">
    <w:name w:val="Table Paragraph"/>
    <w:basedOn w:val="1"/>
    <w:qFormat/>
    <w:uiPriority w:val="0"/>
    <w:rPr>
      <w:rFonts w:ascii="宋体" w:hAnsi="宋体" w:cs="宋体"/>
      <w:szCs w:val="21"/>
      <w:lang w:val="zh-CN" w:bidi="zh-CN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6">
    <w:name w:val="正文文本缩进 字符"/>
    <w:basedOn w:val="10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正文文本首行缩进 2 字符"/>
    <w:basedOn w:val="16"/>
    <w:link w:val="7"/>
    <w:qFormat/>
    <w:uiPriority w:val="99"/>
    <w:rPr>
      <w:rFonts w:ascii="仿宋_GB2312" w:hAnsi="宋体" w:eastAsia="仿宋_GB2312" w:cs="Times New Roman"/>
      <w:kern w:val="2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2279</Words>
  <Characters>2437</Characters>
  <Lines>20</Lines>
  <Paragraphs>5</Paragraphs>
  <TotalTime>78</TotalTime>
  <ScaleCrop>false</ScaleCrop>
  <LinksUpToDate>false</LinksUpToDate>
  <CharactersWithSpaces>2570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2024-05-29T06:16:00Z</dcterms:created>
  <dc:creator>86136</dc:creator>
  <cp:lastModifiedBy>王亦白</cp:lastModifiedBy>
  <dcterms:modified xsi:type="dcterms:W3CDTF">2024-06-21T03:28:07Z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7AC6592E5311420694C781E19E3C36F2_13</vt:lpwstr>
  </property>
</Properties>
</file>