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080" w:hanging="3080" w:hangingChars="700"/>
        <w:jc w:val="center"/>
        <w:rPr>
          <w:rFonts w:ascii="方正小标宋简体" w:eastAsia="方正小标宋简体" w:cs="Arial" w:hAnsiTheme="majorEastAsia"/>
          <w:sz w:val="44"/>
          <w:szCs w:val="44"/>
          <w:shd w:val="clear" w:color="auto" w:fill="FFFFFF"/>
        </w:rPr>
      </w:pPr>
      <w:bookmarkStart w:id="1" w:name="_GoBack"/>
      <w:bookmarkEnd w:id="1"/>
      <w:r>
        <w:rPr>
          <w:rFonts w:hint="eastAsia" w:ascii="方正小标宋简体" w:eastAsia="方正小标宋简体" w:cs="Arial" w:hAnsiTheme="majorEastAsia"/>
          <w:sz w:val="44"/>
          <w:szCs w:val="44"/>
          <w:shd w:val="clear" w:color="auto" w:fill="FFFFFF"/>
        </w:rPr>
        <w:t>钱江水利开发股份有限公司</w:t>
      </w:r>
    </w:p>
    <w:p>
      <w:pPr>
        <w:adjustRightInd w:val="0"/>
        <w:snapToGrid w:val="0"/>
        <w:ind w:left="3080" w:hanging="3080" w:hangingChars="700"/>
        <w:jc w:val="center"/>
        <w:rPr>
          <w:rFonts w:ascii="方正小标宋简体" w:hAnsi="方正公文小标宋" w:eastAsia="方正小标宋简体" w:cs="方正公文小标宋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投资者关系管理服务项目</w:t>
      </w:r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</w:rPr>
        <w:t>比选公告</w:t>
      </w:r>
    </w:p>
    <w:p>
      <w:pPr>
        <w:wordWrap w:val="0"/>
        <w:spacing w:line="360" w:lineRule="auto"/>
        <w:ind w:firstLine="482" w:firstLineChars="200"/>
        <w:outlineLvl w:val="1"/>
        <w:rPr>
          <w:rFonts w:ascii="宋体" w:hAnsi="宋体" w:cs="Tahoma"/>
          <w:b/>
          <w:bCs/>
          <w:kern w:val="0"/>
          <w:sz w:val="24"/>
        </w:rPr>
      </w:pP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加深投资者对公司的了解，增进上市公司的市场认同和价值实现，增厚公司的品牌价值，根据《关于做好央企控股上市公司2021年投资者沟通工作有关事项的通知》和《提高央企控股上市公司质量工作方案》的有关内容，公司需选定2024年投资者关系管理服务单位，通过专业机构的管理服务逐步挖掘公司投资价值，拓宽与投资者交流，通过资本运作，提升二级市场活跃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1.服务内容：</w:t>
      </w:r>
    </w:p>
    <w:tbl>
      <w:tblPr>
        <w:tblStyle w:val="9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5441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3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服务项目</w:t>
            </w:r>
          </w:p>
        </w:tc>
        <w:tc>
          <w:tcPr>
            <w:tcW w:w="5441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内容（数量）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维护机构与其他投资者关系管理</w:t>
            </w:r>
          </w:p>
        </w:tc>
        <w:tc>
          <w:tcPr>
            <w:tcW w:w="544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现场调研（机构推荐不限次数）、投资者开放日（1次）、重要投资者交流会等形式开展投关管理；投关交流资料优化。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券商研究所策略会不少于2次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推动卖方分析师出具相应报告</w:t>
            </w:r>
          </w:p>
        </w:tc>
        <w:tc>
          <w:tcPr>
            <w:tcW w:w="544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搭建分析师数据库，在公司重大事项公告后，积极与之沟通，协助公司邀请分析师对公司进行调研、跟进调研反馈、推动研报出具。帮助公司与至少5家卖方机构建立常态化交流，推动券商分析师出具报告不低于3篇。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配合非公开发行做好投关管理</w:t>
            </w:r>
          </w:p>
        </w:tc>
        <w:tc>
          <w:tcPr>
            <w:tcW w:w="544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配合公司非公开发行组织路演，路演前市场上召集相应机构、私募投资者参与。通过良好的舆情监控和舆情引导（正向文章关联投放）帮助投资者正确认知定增方案。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舆情监控</w:t>
            </w:r>
          </w:p>
        </w:tc>
        <w:tc>
          <w:tcPr>
            <w:tcW w:w="544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日常舆情监控，提供公司资本市场周报/月报，追踪重大事件公告后的股吧、媒体等公司新闻产生的舆论；股价巨大波动期间，提供相应原因报告。若有紧急舆情危机，需有相应公关处理舆论方案。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定期报告及重要事件稿件内容策划与升级</w:t>
            </w:r>
          </w:p>
        </w:tc>
        <w:tc>
          <w:tcPr>
            <w:tcW w:w="544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定期报告“管理层讨论与分析”章节内容梳理及优化表达，使其内容更具深度和高度，起到行业引领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定期报告价值传播</w:t>
            </w:r>
          </w:p>
        </w:tc>
        <w:tc>
          <w:tcPr>
            <w:tcW w:w="544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公司发布定期报告1周后要对公司定期报告进行全方位、多角度、多层次传播，最终形成成果简报。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4份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配合价值服务机构</w:t>
            </w:r>
          </w:p>
        </w:tc>
        <w:tc>
          <w:tcPr>
            <w:tcW w:w="544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配合价值服务机构，结合公司发展及行业特点，构建公司市值管理框架。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参与资本市场奖项评选</w:t>
            </w:r>
          </w:p>
        </w:tc>
        <w:tc>
          <w:tcPr>
            <w:tcW w:w="544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  <w:shd w:val="clear" w:color="auto" w:fill="FFFFFF"/>
              </w:rPr>
              <w:t>协助公司奖评选活动，全程协助公司推进自荐参选、公众投票等环节相关工作，争取获得奖项。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2.服务期限：不超过12个月（具体以签订合同开始计算）,招标人可根据中标人的服务质量及履约情况决定是否续约一年。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二、资质要求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1.持有工商行政管理部门颁发的营业执照，能独立向采购人提供本项目所需服务；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2.具备良好的市场信誉，最近五年无违法和重大违规执业行为，没有处于被责令停业、破产和财产被接管、冻结的状态，在政府采购活动中没有严重违法失信行为记录；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3.供应商具备投资咨询牌照及其他与本项目相关的行业资质证明、认证证书；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4.具备足够的市值管理服务能力；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5.具有相关服务经验。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三、控制价</w:t>
      </w:r>
    </w:p>
    <w:p>
      <w:pPr>
        <w:pStyle w:val="6"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Arial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kern w:val="2"/>
          <w:sz w:val="32"/>
          <w:szCs w:val="32"/>
          <w:shd w:val="clear" w:color="auto" w:fill="FFFFFF"/>
        </w:rPr>
        <w:t>控制价设置在13万元。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四、响应文件递交要求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1.各响应单位请于2024年6月26日17点前（截止日期）以扫描件（电子版）方式将响应文件（需盖公章）发送至luchenkaicoming@163.com（以邮件接收时间为准）。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2.响应文件组成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Hlk5746852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2.1资格证明文件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（1）营业执照证明材料复印件（复印件加盖公章）。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2.2商务报价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（1）报价表（加盖公章）。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2.3技术方案（包含人员配备及管理、工作方案、资源组合、保障措施、舆情服务、案例、成果输出等。）（加盖公章）。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近3年财务报表（加盖公章）。</w:t>
      </w:r>
    </w:p>
    <w:bookmarkEnd w:id="0"/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五、中标原则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采购人将根据综合评分法选择供应商。综合评估后选定中标单位，具体评估办法由钱江水利评审小组确定。中标候选资格按综合得分由高到低顺序排列，</w:t>
      </w:r>
      <w:r>
        <w:rPr>
          <w:rFonts w:hint="eastAsia" w:ascii="仿宋_GB2312" w:hAnsi="仿宋" w:eastAsia="仿宋_GB2312"/>
          <w:sz w:val="32"/>
          <w:szCs w:val="32"/>
        </w:rPr>
        <w:t>推荐综合评分排名第一的供应商为中标单位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，得分相同的，按综合报价由低到高顺序排列。若中标人无法满足本次资产评估的服务要求，将根据中标候选人的顺序继续由第二名提供评估服务，直至满足公司需求。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供应商对本比选文件有疑问的，请于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2024年6月23日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</w:t>
      </w:r>
      <w:r>
        <w:fldChar w:fldCharType="begin"/>
      </w:r>
      <w:r>
        <w:instrText xml:space="preserve"> HYPERLINK "mailto:00点前，提交一份质疑文件电子文档（word版，须注明报价人名称）发邮件至下列邮箱（XCZYHY@163.COM），拨打电话0531-69901727通知。"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点前，提交一份质疑文件电子文档（word版，须注明报价人名称）发邮件至下列邮箱luchenkaicoming@163.com。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项目单位：钱江水利开发股份有限公司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址：杭州市西湖区三台山路3号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人：陆先生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话：0571-86059503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附件：1.评分规则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2.报价表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3.技术方案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钱江水利开发股份有限公司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2024年6月21日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spacing w:before="156" w:beforeLines="50" w:after="312" w:afterLines="100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评分细则</w:t>
      </w:r>
    </w:p>
    <w:tbl>
      <w:tblPr>
        <w:tblStyle w:val="8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87"/>
        <w:gridCol w:w="1311"/>
        <w:gridCol w:w="5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07" w:type="pct"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序号</w:t>
            </w:r>
          </w:p>
        </w:tc>
        <w:tc>
          <w:tcPr>
            <w:tcW w:w="702" w:type="pct"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</w:p>
        </w:tc>
        <w:tc>
          <w:tcPr>
            <w:tcW w:w="71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评分项目</w:t>
            </w:r>
          </w:p>
        </w:tc>
        <w:tc>
          <w:tcPr>
            <w:tcW w:w="317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0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702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商务分（50分）</w:t>
            </w:r>
          </w:p>
        </w:tc>
        <w:tc>
          <w:tcPr>
            <w:tcW w:w="71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报价（50分）</w:t>
            </w:r>
          </w:p>
        </w:tc>
        <w:tc>
          <w:tcPr>
            <w:tcW w:w="3176" w:type="pct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以全部有效投标人的报价算数平均值为评标基准价，当有效投标报价等于评标基准价时得满分50分；有效投标报价与评标基准价相比，每上偏1%扣1分（计算公式：（50-（投标人报价－评标基准价）/评标基准价*100*1），每下偏 1 %扣0.5分（计算公式：（50-（评标基准价－投标人报价）/评标基准价*100*0.5）。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0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技术</w:t>
            </w:r>
          </w:p>
          <w:p>
            <w:pPr>
              <w:pStyle w:val="5"/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（50分）</w:t>
            </w:r>
          </w:p>
        </w:tc>
        <w:tc>
          <w:tcPr>
            <w:tcW w:w="71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服务方案（20分）</w:t>
            </w:r>
          </w:p>
        </w:tc>
        <w:tc>
          <w:tcPr>
            <w:tcW w:w="3176" w:type="pct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根据投标人提供的服务方案，评判方案可行性、合理性，需求理解的全面性、详细程度，关键问题的准确识别分析情况，进行综合评审，包括但不限于以下方面：专业人员配备及管理、工作方案、资源组合、保障措施、舆情服务、案例、成果输出等。</w:t>
            </w:r>
          </w:p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优秀：13分≤得分≤20分；良好：7分≤得分≤12分；</w:t>
            </w:r>
          </w:p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一般：0分≤得分≤6分。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</w:p>
        </w:tc>
        <w:tc>
          <w:tcPr>
            <w:tcW w:w="702" w:type="pct"/>
            <w:vMerge w:val="continue"/>
            <w:vAlign w:val="center"/>
          </w:tcPr>
          <w:p>
            <w:pPr>
              <w:pStyle w:val="5"/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技术资质（10分）</w:t>
            </w:r>
          </w:p>
        </w:tc>
        <w:tc>
          <w:tcPr>
            <w:tcW w:w="3176" w:type="pct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根据投标人提供工作方案，从供应商拥有的机构牌照、从业人员资质、技术著作权及专利认证等方面，评审小组进行横向对比评价。</w:t>
            </w:r>
          </w:p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优秀：6分≤得分≤10分；良好：4分≤得分≤6分；</w:t>
            </w:r>
          </w:p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一般：0分≤得分≤3分。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</w:p>
        </w:tc>
        <w:tc>
          <w:tcPr>
            <w:tcW w:w="702" w:type="pct"/>
            <w:vMerge w:val="continue"/>
            <w:vAlign w:val="center"/>
          </w:tcPr>
          <w:p>
            <w:pPr>
              <w:pStyle w:val="5"/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组织、参与的买卖方管理案例（10分）</w:t>
            </w:r>
          </w:p>
        </w:tc>
        <w:tc>
          <w:tcPr>
            <w:tcW w:w="3176" w:type="pct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根据案例投资者关系活动频率、场次、研究报告数量，资本市场认知度和美誉度是否提升。</w:t>
            </w:r>
          </w:p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优秀：6分≤得分≤10分；良好：4分≤得分≤6分；</w:t>
            </w:r>
          </w:p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一般：0分≤得分≤3分。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</w:p>
        </w:tc>
        <w:tc>
          <w:tcPr>
            <w:tcW w:w="702" w:type="pct"/>
            <w:vMerge w:val="continue"/>
            <w:vAlign w:val="center"/>
          </w:tcPr>
          <w:p>
            <w:pPr>
              <w:pStyle w:val="5"/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舆情覆盖（5分）</w:t>
            </w:r>
          </w:p>
        </w:tc>
        <w:tc>
          <w:tcPr>
            <w:tcW w:w="3176" w:type="pct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根据投标人曾经提供的舆情服务覆盖的媒体、渠道列举，进行综合评审。（0-5分）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</w:p>
        </w:tc>
        <w:tc>
          <w:tcPr>
            <w:tcW w:w="702" w:type="pct"/>
            <w:vMerge w:val="continue"/>
            <w:vAlign w:val="center"/>
          </w:tcPr>
          <w:p>
            <w:pPr>
              <w:pStyle w:val="5"/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财务实力（5分）</w:t>
            </w:r>
          </w:p>
        </w:tc>
        <w:tc>
          <w:tcPr>
            <w:tcW w:w="3176" w:type="pct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2"/>
                <w:szCs w:val="22"/>
              </w:rPr>
              <w:t>供应商提供自身最近3年财务报表，包含注册资本金额、营业收入、净利润、财务报告审计情况等信息，评审小组进行横向对比评价。（0-5分）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widowControl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钱江水利开发股份有限公司</w:t>
      </w:r>
    </w:p>
    <w:p>
      <w:pPr>
        <w:widowControl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投资者关系管理服务项目报价表</w:t>
      </w:r>
    </w:p>
    <w:p>
      <w:pPr>
        <w:pStyle w:val="5"/>
      </w:pPr>
    </w:p>
    <w:tbl>
      <w:tblPr>
        <w:tblStyle w:val="9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</w:t>
            </w:r>
          </w:p>
        </w:tc>
        <w:tc>
          <w:tcPr>
            <w:tcW w:w="6662" w:type="dxa"/>
            <w:vAlign w:val="center"/>
          </w:tcPr>
          <w:p>
            <w:pPr>
              <w:ind w:left="17" w:hanging="16" w:hangingChars="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（单位：元）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技术资质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####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组织、参与的买卖方管理案例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案例1：####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案例2：####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舆情渠道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####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技术资质、</w:t>
            </w:r>
            <w:r>
              <w:rPr>
                <w:rFonts w:ascii="仿宋" w:hAnsi="仿宋" w:eastAsia="仿宋" w:cs="仿宋"/>
                <w:szCs w:val="21"/>
              </w:rPr>
              <w:t>案例</w:t>
            </w:r>
            <w:r>
              <w:rPr>
                <w:rFonts w:hint="eastAsia" w:ascii="仿宋" w:hAnsi="仿宋" w:eastAsia="仿宋" w:cs="仿宋"/>
                <w:szCs w:val="21"/>
              </w:rPr>
              <w:t>、舆情渠道</w:t>
            </w:r>
            <w:r>
              <w:rPr>
                <w:rFonts w:ascii="仿宋" w:hAnsi="仿宋" w:eastAsia="仿宋" w:cs="仿宋"/>
                <w:szCs w:val="21"/>
              </w:rPr>
              <w:t>需在技术方案中</w:t>
            </w:r>
            <w:r>
              <w:rPr>
                <w:rFonts w:hint="eastAsia" w:ascii="仿宋" w:hAnsi="仿宋" w:eastAsia="仿宋" w:cs="仿宋"/>
                <w:szCs w:val="21"/>
              </w:rPr>
              <w:t>体现。</w:t>
            </w:r>
          </w:p>
        </w:tc>
      </w:tr>
    </w:tbl>
    <w:p/>
    <w:p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投标人名称(盖章)：</w:t>
      </w:r>
    </w:p>
    <w:p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1.技术方案（专业人员配备及管理、工作方案、资源组合、保障措施、舆情服务、案例、成果输出等）（加盖公章）。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近3年财务报表（加盖公章）。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04EFB-8EB8-4FAA-960D-EEB34516AA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98DD9D-0AEF-445B-842F-7E5BA18B974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18890592-5E35-4DE6-AD29-805DDA8DEE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8EF061-494E-4B1C-BDA6-B4DCC650134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5" w:fontKey="{47F5AF65-4121-4B6B-B80C-1FBB04C1EE7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78341E05-AF8F-4930-92C7-B37F26E7E0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2F8CFA5-AD1D-43E6-A842-CF026BDC6F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YmEzY2IxODgzYzkyOTQ3Y2ZmNDM4MDkyNGFjM2QifQ=="/>
  </w:docVars>
  <w:rsids>
    <w:rsidRoot w:val="00C825C4"/>
    <w:rsid w:val="00037336"/>
    <w:rsid w:val="00074973"/>
    <w:rsid w:val="00083313"/>
    <w:rsid w:val="000C30E3"/>
    <w:rsid w:val="001C73E2"/>
    <w:rsid w:val="00200BC1"/>
    <w:rsid w:val="00206441"/>
    <w:rsid w:val="00232087"/>
    <w:rsid w:val="002417E0"/>
    <w:rsid w:val="00250F46"/>
    <w:rsid w:val="00281727"/>
    <w:rsid w:val="002E4E6C"/>
    <w:rsid w:val="002F3D19"/>
    <w:rsid w:val="003205C5"/>
    <w:rsid w:val="0033493E"/>
    <w:rsid w:val="003400D4"/>
    <w:rsid w:val="00376D4B"/>
    <w:rsid w:val="003E6450"/>
    <w:rsid w:val="00413314"/>
    <w:rsid w:val="00481504"/>
    <w:rsid w:val="004A23A7"/>
    <w:rsid w:val="004C7A4B"/>
    <w:rsid w:val="00511105"/>
    <w:rsid w:val="005173D3"/>
    <w:rsid w:val="005410C9"/>
    <w:rsid w:val="005D7718"/>
    <w:rsid w:val="00601DB5"/>
    <w:rsid w:val="006267BC"/>
    <w:rsid w:val="00660D2F"/>
    <w:rsid w:val="00681A81"/>
    <w:rsid w:val="00702C22"/>
    <w:rsid w:val="007D3EA9"/>
    <w:rsid w:val="00821EE8"/>
    <w:rsid w:val="00845485"/>
    <w:rsid w:val="008850EA"/>
    <w:rsid w:val="008D36E7"/>
    <w:rsid w:val="009700EA"/>
    <w:rsid w:val="00984A4A"/>
    <w:rsid w:val="00A82C9E"/>
    <w:rsid w:val="00AA686B"/>
    <w:rsid w:val="00B227D5"/>
    <w:rsid w:val="00B272D8"/>
    <w:rsid w:val="00B31503"/>
    <w:rsid w:val="00B45628"/>
    <w:rsid w:val="00BB315D"/>
    <w:rsid w:val="00BE7BEB"/>
    <w:rsid w:val="00C71180"/>
    <w:rsid w:val="00C81247"/>
    <w:rsid w:val="00C825C4"/>
    <w:rsid w:val="00CA35DA"/>
    <w:rsid w:val="00CD01E9"/>
    <w:rsid w:val="00D1572C"/>
    <w:rsid w:val="00D80CAB"/>
    <w:rsid w:val="00DA0D47"/>
    <w:rsid w:val="00DC047A"/>
    <w:rsid w:val="00DC7E36"/>
    <w:rsid w:val="00DD0C4B"/>
    <w:rsid w:val="00E0168D"/>
    <w:rsid w:val="00E669C6"/>
    <w:rsid w:val="00E91C1E"/>
    <w:rsid w:val="00EB218F"/>
    <w:rsid w:val="00EE5E8F"/>
    <w:rsid w:val="00F81CB1"/>
    <w:rsid w:val="00FF20AB"/>
    <w:rsid w:val="33574394"/>
    <w:rsid w:val="3ABF222A"/>
    <w:rsid w:val="3CD368F0"/>
    <w:rsid w:val="569304F5"/>
    <w:rsid w:val="6BAA760C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link w:val="17"/>
    <w:unhideWhenUsed/>
    <w:qFormat/>
    <w:uiPriority w:val="99"/>
    <w:pPr>
      <w:widowControl/>
      <w:adjustRightInd w:val="0"/>
      <w:spacing w:after="0" w:line="520" w:lineRule="exact"/>
      <w:ind w:left="0" w:leftChars="0" w:firstLine="420" w:firstLineChars="200"/>
    </w:pPr>
    <w:rPr>
      <w:rFonts w:ascii="仿宋_GB2312" w:hAnsi="宋体" w:eastAsia="仿宋_GB2312"/>
      <w:kern w:val="0"/>
      <w:sz w:val="32"/>
      <w:szCs w:val="32"/>
      <w:lang w:val="zh-CN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Table Paragraph"/>
    <w:basedOn w:val="1"/>
    <w:qFormat/>
    <w:uiPriority w:val="0"/>
    <w:rPr>
      <w:rFonts w:ascii="宋体" w:hAnsi="宋体" w:cs="宋体"/>
      <w:szCs w:val="21"/>
      <w:lang w:val="zh-CN" w:bidi="zh-CN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正文文本缩进 字符"/>
    <w:basedOn w:val="10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正文文本首行缩进 2 字符"/>
    <w:basedOn w:val="16"/>
    <w:link w:val="7"/>
    <w:qFormat/>
    <w:uiPriority w:val="99"/>
    <w:rPr>
      <w:rFonts w:ascii="仿宋_GB2312" w:hAnsi="宋体" w:eastAsia="仿宋_GB2312" w:cs="Times New Roman"/>
      <w:kern w:val="2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2362</Words>
  <Characters>2512</Characters>
  <Lines>20</Lines>
  <Paragraphs>5</Paragraphs>
  <TotalTime>71</TotalTime>
  <ScaleCrop>false</ScaleCrop>
  <LinksUpToDate>false</LinksUpToDate>
  <CharactersWithSpaces>2644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2024-05-29T06:16:00Z</dcterms:created>
  <dc:creator>86136</dc:creator>
  <cp:lastModifiedBy>王亦白</cp:lastModifiedBy>
  <dcterms:modified xsi:type="dcterms:W3CDTF">2024-06-21T03:27:04Z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6F95AC8F528B48B19E8883F0231DF055_13</vt:lpwstr>
  </property>
</Properties>
</file>